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val="0"/>
        <w:overflowPunct/>
        <w:topLinePunct w:val="0"/>
        <w:autoSpaceDE/>
        <w:autoSpaceDN/>
        <w:bidi w:val="0"/>
        <w:snapToGrid/>
        <w:spacing w:before="156" w:beforeLines="50" w:after="156" w:afterLines="50" w:line="360" w:lineRule="auto"/>
        <w:rPr>
          <w:rFonts w:ascii="Times New Roman" w:hAnsi="Times New Roman" w:eastAsia="黑体" w:cs="Times New Roman"/>
          <w:b/>
          <w:sz w:val="48"/>
          <w:szCs w:val="48"/>
        </w:rPr>
      </w:pPr>
    </w:p>
    <w:p>
      <w:pPr>
        <w:pageBreakBefore w:val="0"/>
        <w:kinsoku/>
        <w:wordWrap w:val="0"/>
        <w:overflowPunct/>
        <w:topLinePunct w:val="0"/>
        <w:autoSpaceDE/>
        <w:autoSpaceDN/>
        <w:bidi w:val="0"/>
        <w:snapToGrid/>
        <w:spacing w:before="156" w:beforeLines="50" w:after="156" w:afterLines="50" w:line="360" w:lineRule="auto"/>
        <w:rPr>
          <w:rFonts w:ascii="Times New Roman" w:hAnsi="Times New Roman" w:eastAsia="黑体" w:cs="Times New Roman"/>
          <w:b/>
          <w:sz w:val="48"/>
          <w:szCs w:val="48"/>
        </w:rPr>
      </w:pPr>
    </w:p>
    <w:p>
      <w:pPr>
        <w:pageBreakBefore w:val="0"/>
        <w:kinsoku/>
        <w:wordWrap w:val="0"/>
        <w:overflowPunct/>
        <w:topLinePunct w:val="0"/>
        <w:autoSpaceDE/>
        <w:autoSpaceDN/>
        <w:bidi w:val="0"/>
        <w:snapToGrid/>
        <w:spacing w:before="156" w:beforeLines="50" w:after="156" w:afterLines="50" w:line="360" w:lineRule="auto"/>
        <w:jc w:val="center"/>
        <w:rPr>
          <w:rFonts w:ascii="Times New Roman" w:hAnsi="Times New Roman" w:eastAsia="黑体" w:cs="Times New Roman"/>
          <w:b/>
          <w:sz w:val="48"/>
          <w:szCs w:val="48"/>
        </w:rPr>
      </w:pPr>
      <w:r>
        <w:rPr>
          <w:rFonts w:hint="eastAsia" w:ascii="Times New Roman" w:hAnsi="Times New Roman" w:eastAsia="黑体" w:cs="Times New Roman"/>
          <w:b/>
          <w:sz w:val="48"/>
          <w:szCs w:val="48"/>
          <w:lang w:eastAsia="zh-CN"/>
        </w:rPr>
        <w:t>秦皇岛</w:t>
      </w:r>
      <w:r>
        <w:rPr>
          <w:rFonts w:ascii="Times New Roman" w:hAnsi="Times New Roman" w:eastAsia="黑体" w:cs="Times New Roman"/>
          <w:b/>
          <w:sz w:val="48"/>
          <w:szCs w:val="48"/>
        </w:rPr>
        <w:t>市公共资源交易电子交易平台</w:t>
      </w:r>
    </w:p>
    <w:p>
      <w:pPr>
        <w:pageBreakBefore w:val="0"/>
        <w:kinsoku/>
        <w:wordWrap w:val="0"/>
        <w:overflowPunct/>
        <w:topLinePunct w:val="0"/>
        <w:autoSpaceDE/>
        <w:autoSpaceDN/>
        <w:bidi w:val="0"/>
        <w:snapToGrid/>
        <w:spacing w:before="156" w:beforeLines="50" w:after="156" w:afterLines="50" w:line="360" w:lineRule="auto"/>
        <w:jc w:val="center"/>
        <w:rPr>
          <w:rFonts w:ascii="Times New Roman" w:hAnsi="Times New Roman" w:eastAsia="黑体" w:cs="Times New Roman"/>
          <w:b/>
          <w:sz w:val="48"/>
          <w:szCs w:val="48"/>
        </w:rPr>
      </w:pPr>
      <w:r>
        <w:rPr>
          <w:rFonts w:hint="eastAsia" w:ascii="Times New Roman" w:hAnsi="Times New Roman" w:eastAsia="黑体" w:cs="Times New Roman"/>
          <w:b/>
          <w:sz w:val="48"/>
          <w:szCs w:val="48"/>
        </w:rPr>
        <w:t>不见面开评标</w:t>
      </w:r>
      <w:r>
        <w:rPr>
          <w:rFonts w:ascii="Times New Roman" w:hAnsi="Times New Roman" w:eastAsia="黑体" w:cs="Times New Roman"/>
          <w:b/>
          <w:sz w:val="48"/>
          <w:szCs w:val="48"/>
        </w:rPr>
        <w:t>系统</w:t>
      </w:r>
    </w:p>
    <w:p>
      <w:pPr>
        <w:pageBreakBefore w:val="0"/>
        <w:kinsoku/>
        <w:wordWrap w:val="0"/>
        <w:overflowPunct/>
        <w:topLinePunct w:val="0"/>
        <w:autoSpaceDE/>
        <w:autoSpaceDN/>
        <w:bidi w:val="0"/>
        <w:snapToGrid/>
        <w:spacing w:before="156" w:beforeLines="50" w:after="156" w:afterLines="50" w:line="360" w:lineRule="auto"/>
        <w:jc w:val="center"/>
        <w:rPr>
          <w:rFonts w:ascii="Times New Roman" w:hAnsi="Times New Roman" w:eastAsia="黑体" w:cs="Times New Roman"/>
          <w:b/>
          <w:sz w:val="48"/>
          <w:szCs w:val="48"/>
        </w:rPr>
      </w:pPr>
      <w:r>
        <w:rPr>
          <w:rFonts w:hint="eastAsia" w:ascii="Times New Roman" w:hAnsi="Times New Roman" w:eastAsia="黑体" w:cs="Times New Roman"/>
          <w:b/>
          <w:sz w:val="48"/>
          <w:szCs w:val="48"/>
        </w:rPr>
        <w:t>开标员</w:t>
      </w:r>
      <w:r>
        <w:rPr>
          <w:rFonts w:ascii="Times New Roman" w:hAnsi="Times New Roman" w:eastAsia="黑体" w:cs="Times New Roman"/>
          <w:b/>
          <w:sz w:val="48"/>
          <w:szCs w:val="48"/>
        </w:rPr>
        <w:t>操作手册</w:t>
      </w:r>
    </w:p>
    <w:p>
      <w:pPr>
        <w:pageBreakBefore w:val="0"/>
        <w:kinsoku/>
        <w:wordWrap w:val="0"/>
        <w:overflowPunct/>
        <w:topLinePunct w:val="0"/>
        <w:autoSpaceDE/>
        <w:autoSpaceDN/>
        <w:bidi w:val="0"/>
        <w:snapToGrid/>
        <w:spacing w:before="156" w:beforeLines="50" w:after="156" w:afterLines="50" w:line="360" w:lineRule="auto"/>
        <w:jc w:val="center"/>
        <w:rPr>
          <w:rFonts w:ascii="Times New Roman" w:hAnsi="Times New Roman" w:eastAsia="黑体" w:cs="Times New Roman"/>
          <w:b/>
          <w:sz w:val="48"/>
          <w:szCs w:val="48"/>
        </w:rPr>
      </w:pPr>
    </w:p>
    <w:p>
      <w:pPr>
        <w:pageBreakBefore w:val="0"/>
        <w:kinsoku/>
        <w:wordWrap w:val="0"/>
        <w:overflowPunct/>
        <w:topLinePunct w:val="0"/>
        <w:autoSpaceDE/>
        <w:autoSpaceDN/>
        <w:bidi w:val="0"/>
        <w:snapToGrid/>
        <w:spacing w:before="156" w:beforeLines="50" w:after="156" w:afterLines="50" w:line="360" w:lineRule="auto"/>
        <w:jc w:val="center"/>
        <w:rPr>
          <w:rFonts w:ascii="Times New Roman" w:hAnsi="Times New Roman" w:eastAsia="黑体" w:cs="Times New Roman"/>
          <w:b/>
          <w:sz w:val="48"/>
          <w:szCs w:val="48"/>
        </w:rPr>
      </w:pPr>
    </w:p>
    <w:p>
      <w:pPr>
        <w:pageBreakBefore w:val="0"/>
        <w:kinsoku/>
        <w:wordWrap w:val="0"/>
        <w:overflowPunct/>
        <w:topLinePunct w:val="0"/>
        <w:autoSpaceDE/>
        <w:autoSpaceDN/>
        <w:bidi w:val="0"/>
        <w:snapToGrid/>
        <w:spacing w:before="156" w:beforeLines="50" w:after="156" w:afterLines="50" w:line="360" w:lineRule="auto"/>
        <w:jc w:val="center"/>
        <w:rPr>
          <w:rFonts w:ascii="Times New Roman" w:hAnsi="Times New Roman" w:eastAsia="黑体" w:cs="Times New Roman"/>
          <w:b/>
          <w:sz w:val="48"/>
          <w:szCs w:val="48"/>
        </w:rPr>
      </w:pPr>
    </w:p>
    <w:p>
      <w:pPr>
        <w:pageBreakBefore w:val="0"/>
        <w:kinsoku/>
        <w:wordWrap w:val="0"/>
        <w:overflowPunct/>
        <w:topLinePunct w:val="0"/>
        <w:autoSpaceDE/>
        <w:autoSpaceDN/>
        <w:bidi w:val="0"/>
        <w:snapToGrid/>
        <w:spacing w:before="156" w:beforeLines="50" w:after="156" w:afterLines="50" w:line="360" w:lineRule="auto"/>
        <w:jc w:val="center"/>
        <w:rPr>
          <w:rFonts w:ascii="Times New Roman" w:hAnsi="Times New Roman" w:eastAsia="黑体" w:cs="Times New Roman"/>
          <w:b/>
          <w:sz w:val="48"/>
          <w:szCs w:val="48"/>
        </w:rPr>
      </w:pPr>
    </w:p>
    <w:p>
      <w:pPr>
        <w:pageBreakBefore w:val="0"/>
        <w:kinsoku/>
        <w:wordWrap w:val="0"/>
        <w:overflowPunct/>
        <w:topLinePunct w:val="0"/>
        <w:autoSpaceDE/>
        <w:autoSpaceDN/>
        <w:bidi w:val="0"/>
        <w:snapToGrid/>
        <w:spacing w:before="156" w:beforeLines="50" w:after="156" w:afterLines="50" w:line="360" w:lineRule="auto"/>
        <w:jc w:val="center"/>
        <w:rPr>
          <w:rFonts w:ascii="Times New Roman" w:hAnsi="Times New Roman" w:eastAsia="黑体" w:cs="Times New Roman"/>
          <w:b/>
          <w:sz w:val="48"/>
          <w:szCs w:val="48"/>
        </w:rPr>
      </w:pPr>
    </w:p>
    <w:p>
      <w:pPr>
        <w:pageBreakBefore w:val="0"/>
        <w:kinsoku/>
        <w:wordWrap w:val="0"/>
        <w:overflowPunct/>
        <w:topLinePunct w:val="0"/>
        <w:autoSpaceDE/>
        <w:autoSpaceDN/>
        <w:bidi w:val="0"/>
        <w:snapToGrid/>
        <w:spacing w:before="156" w:beforeLines="50" w:after="156" w:afterLines="50" w:line="360" w:lineRule="auto"/>
        <w:jc w:val="center"/>
        <w:rPr>
          <w:rFonts w:ascii="Times New Roman" w:hAnsi="Times New Roman" w:eastAsia="黑体" w:cs="Times New Roman"/>
          <w:b/>
          <w:sz w:val="48"/>
          <w:szCs w:val="48"/>
        </w:rPr>
      </w:pPr>
    </w:p>
    <w:p>
      <w:pPr>
        <w:pageBreakBefore w:val="0"/>
        <w:kinsoku/>
        <w:wordWrap w:val="0"/>
        <w:overflowPunct/>
        <w:topLinePunct w:val="0"/>
        <w:autoSpaceDE/>
        <w:autoSpaceDN/>
        <w:bidi w:val="0"/>
        <w:snapToGrid/>
        <w:spacing w:before="156" w:beforeLines="50" w:after="156" w:afterLines="50" w:line="360" w:lineRule="auto"/>
        <w:jc w:val="center"/>
        <w:rPr>
          <w:rFonts w:ascii="Times New Roman" w:hAnsi="Times New Roman" w:eastAsia="黑体" w:cs="Times New Roman"/>
          <w:b/>
          <w:sz w:val="48"/>
          <w:szCs w:val="48"/>
        </w:rPr>
      </w:pPr>
    </w:p>
    <w:p>
      <w:pPr>
        <w:pageBreakBefore w:val="0"/>
        <w:kinsoku/>
        <w:wordWrap w:val="0"/>
        <w:overflowPunct/>
        <w:topLinePunct w:val="0"/>
        <w:autoSpaceDE/>
        <w:autoSpaceDN/>
        <w:bidi w:val="0"/>
        <w:snapToGrid/>
        <w:spacing w:before="156" w:beforeLines="50" w:after="156" w:afterLines="50" w:line="360" w:lineRule="auto"/>
        <w:jc w:val="center"/>
        <w:rPr>
          <w:rFonts w:ascii="Times New Roman" w:hAnsi="Times New Roman" w:eastAsia="黑体" w:cs="Times New Roman"/>
          <w:b/>
          <w:sz w:val="48"/>
          <w:szCs w:val="48"/>
        </w:rPr>
      </w:pPr>
    </w:p>
    <w:p>
      <w:pPr>
        <w:pageBreakBefore w:val="0"/>
        <w:kinsoku/>
        <w:wordWrap w:val="0"/>
        <w:overflowPunct/>
        <w:topLinePunct w:val="0"/>
        <w:autoSpaceDE/>
        <w:autoSpaceDN/>
        <w:bidi w:val="0"/>
        <w:snapToGrid/>
        <w:spacing w:line="360" w:lineRule="auto"/>
        <w:ind w:left="1944" w:leftChars="810" w:right="1877" w:rightChars="782"/>
        <w:jc w:val="distribute"/>
        <w:rPr>
          <w:rFonts w:ascii="华文中宋" w:hAnsi="华文中宋" w:eastAsia="华文中宋" w:cs="Times New Roman"/>
          <w:sz w:val="32"/>
          <w:szCs w:val="32"/>
        </w:rPr>
      </w:pPr>
      <w:r>
        <w:rPr>
          <w:rFonts w:hint="eastAsia" w:ascii="华文中宋" w:hAnsi="华文中宋" w:eastAsia="华文中宋" w:cs="Times New Roman"/>
          <w:sz w:val="32"/>
          <w:szCs w:val="32"/>
        </w:rPr>
        <w:t>国泰新点软件</w:t>
      </w:r>
      <w:r>
        <w:rPr>
          <w:rFonts w:hint="eastAsia" w:ascii="华文中宋" w:hAnsi="华文中宋" w:eastAsia="华文中宋" w:cs="Times New Roman"/>
          <w:sz w:val="32"/>
          <w:szCs w:val="32"/>
          <w:lang w:val="en-US" w:eastAsia="zh-CN"/>
        </w:rPr>
        <w:t>股份</w:t>
      </w:r>
      <w:r>
        <w:rPr>
          <w:rFonts w:hint="eastAsia" w:ascii="华文中宋" w:hAnsi="华文中宋" w:eastAsia="华文中宋" w:cs="Times New Roman"/>
          <w:sz w:val="32"/>
          <w:szCs w:val="32"/>
        </w:rPr>
        <w:t>有限公司</w:t>
      </w:r>
    </w:p>
    <w:p>
      <w:pPr>
        <w:pageBreakBefore w:val="0"/>
        <w:kinsoku/>
        <w:wordWrap w:val="0"/>
        <w:overflowPunct/>
        <w:topLinePunct w:val="0"/>
        <w:autoSpaceDE/>
        <w:autoSpaceDN/>
        <w:bidi w:val="0"/>
        <w:snapToGrid/>
        <w:spacing w:line="360" w:lineRule="auto"/>
        <w:jc w:val="center"/>
        <w:rPr>
          <w:rFonts w:ascii="宋体" w:hAnsi="宋体" w:cs="Times New Roman"/>
          <w:b/>
          <w:sz w:val="32"/>
          <w:szCs w:val="32"/>
        </w:rPr>
      </w:pPr>
    </w:p>
    <w:p>
      <w:pPr>
        <w:pageBreakBefore w:val="0"/>
        <w:kinsoku/>
        <w:wordWrap w:val="0"/>
        <w:overflowPunct/>
        <w:topLinePunct w:val="0"/>
        <w:autoSpaceDE/>
        <w:autoSpaceDN/>
        <w:bidi w:val="0"/>
        <w:snapToGrid/>
        <w:spacing w:line="360" w:lineRule="auto"/>
        <w:jc w:val="center"/>
        <w:rPr>
          <w:rFonts w:ascii="宋体" w:hAnsi="宋体" w:cs="Times New Roman"/>
          <w:b/>
          <w:sz w:val="32"/>
          <w:szCs w:val="32"/>
        </w:rPr>
      </w:pPr>
      <w:r>
        <w:rPr>
          <w:rFonts w:hint="eastAsia" w:ascii="宋体" w:hAnsi="宋体" w:cs="Times New Roman"/>
          <w:b/>
          <w:sz w:val="32"/>
          <w:szCs w:val="32"/>
        </w:rPr>
        <w:t>二○二</w:t>
      </w:r>
      <w:r>
        <w:rPr>
          <w:rFonts w:hint="eastAsia" w:ascii="宋体" w:hAnsi="宋体" w:cs="Times New Roman"/>
          <w:b/>
          <w:sz w:val="32"/>
          <w:szCs w:val="32"/>
          <w:lang w:val="en-US" w:eastAsia="zh-CN"/>
        </w:rPr>
        <w:t>一</w:t>
      </w:r>
      <w:r>
        <w:rPr>
          <w:rFonts w:hint="eastAsia" w:ascii="宋体" w:hAnsi="宋体" w:cs="Times New Roman"/>
          <w:b/>
          <w:sz w:val="32"/>
          <w:szCs w:val="32"/>
        </w:rPr>
        <w:t>年</w:t>
      </w:r>
      <w:r>
        <w:rPr>
          <w:rFonts w:hint="eastAsia" w:ascii="宋体" w:hAnsi="宋体" w:cs="Times New Roman"/>
          <w:b/>
          <w:sz w:val="32"/>
          <w:szCs w:val="32"/>
          <w:lang w:val="en-US" w:eastAsia="zh-CN"/>
        </w:rPr>
        <w:t>一</w:t>
      </w:r>
      <w:r>
        <w:rPr>
          <w:rFonts w:hint="eastAsia" w:ascii="宋体" w:hAnsi="宋体" w:cs="Times New Roman"/>
          <w:b/>
          <w:sz w:val="32"/>
          <w:szCs w:val="32"/>
        </w:rPr>
        <w:t>月</w:t>
      </w: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sdt>
      <w:sdtPr>
        <w:rPr>
          <w:rFonts w:eastAsia="宋体" w:asciiTheme="minorHAnsi" w:hAnsiTheme="minorHAnsi" w:cstheme="minorBidi"/>
          <w:color w:val="auto"/>
          <w:kern w:val="2"/>
          <w:sz w:val="24"/>
          <w:szCs w:val="22"/>
          <w:lang w:val="zh-CN"/>
        </w:rPr>
        <w:id w:val="1737825141"/>
        <w:docPartObj>
          <w:docPartGallery w:val="Table of Contents"/>
          <w:docPartUnique/>
        </w:docPartObj>
      </w:sdtPr>
      <w:sdtEndPr>
        <w:rPr>
          <w:rFonts w:eastAsia="宋体" w:asciiTheme="minorHAnsi" w:hAnsiTheme="minorHAnsi" w:cstheme="minorBidi"/>
          <w:b/>
          <w:bCs/>
          <w:color w:val="auto"/>
          <w:kern w:val="2"/>
          <w:sz w:val="24"/>
          <w:szCs w:val="22"/>
          <w:lang w:val="zh-CN"/>
        </w:rPr>
      </w:sdtEndPr>
      <w:sdtContent>
        <w:p>
          <w:pPr>
            <w:pStyle w:val="26"/>
            <w:pageBreakBefore w:val="0"/>
            <w:kinsoku/>
            <w:wordWrap w:val="0"/>
            <w:overflowPunct/>
            <w:topLinePunct w:val="0"/>
            <w:autoSpaceDE/>
            <w:autoSpaceDN/>
            <w:bidi w:val="0"/>
            <w:snapToGrid/>
            <w:spacing w:line="360" w:lineRule="auto"/>
          </w:pPr>
          <w:r>
            <w:rPr>
              <w:lang w:val="zh-CN"/>
            </w:rPr>
            <w:t>目录</w:t>
          </w:r>
        </w:p>
        <w:p>
          <w:pPr>
            <w:pStyle w:val="11"/>
            <w:pageBreakBefore w:val="0"/>
            <w:tabs>
              <w:tab w:val="left" w:pos="1020"/>
              <w:tab w:val="right" w:leader="dot" w:pos="8296"/>
            </w:tabs>
            <w:kinsoku/>
            <w:wordWrap w:val="0"/>
            <w:overflowPunct/>
            <w:topLinePunct w:val="0"/>
            <w:autoSpaceDE/>
            <w:autoSpaceDN/>
            <w:bidi w:val="0"/>
            <w:snapToGrid/>
            <w:spacing w:line="360" w:lineRule="auto"/>
            <w:ind w:left="480"/>
            <w:rPr>
              <w:rFonts w:eastAsiaTheme="minorEastAsia"/>
              <w:sz w:val="21"/>
            </w:rPr>
          </w:pPr>
          <w:r>
            <w:fldChar w:fldCharType="begin"/>
          </w:r>
          <w:r>
            <w:instrText xml:space="preserve"> TOC \o "1-3" \h \z \u </w:instrText>
          </w:r>
          <w:r>
            <w:fldChar w:fldCharType="separate"/>
          </w:r>
          <w:r>
            <w:fldChar w:fldCharType="begin"/>
          </w:r>
          <w:r>
            <w:instrText xml:space="preserve"> HYPERLINK \l "_Toc35931376" </w:instrText>
          </w:r>
          <w:r>
            <w:fldChar w:fldCharType="separate"/>
          </w:r>
          <w:r>
            <w:rPr>
              <w:rStyle w:val="15"/>
              <w:rFonts w:ascii="宋体" w:hAnsi="宋体"/>
            </w:rPr>
            <w:t>一、</w:t>
          </w:r>
          <w:r>
            <w:rPr>
              <w:rFonts w:eastAsiaTheme="minorEastAsia"/>
              <w:sz w:val="21"/>
            </w:rPr>
            <w:tab/>
          </w:r>
          <w:r>
            <w:rPr>
              <w:rStyle w:val="15"/>
              <w:rFonts w:ascii="宋体" w:hAnsi="宋体"/>
            </w:rPr>
            <w:t>浏览器设置</w:t>
          </w:r>
          <w:r>
            <w:tab/>
          </w:r>
          <w:r>
            <w:fldChar w:fldCharType="begin"/>
          </w:r>
          <w:r>
            <w:instrText xml:space="preserve"> PAGEREF _Toc35931376 \h </w:instrText>
          </w:r>
          <w:r>
            <w:fldChar w:fldCharType="separate"/>
          </w:r>
          <w:r>
            <w:t>3</w:t>
          </w:r>
          <w:r>
            <w:fldChar w:fldCharType="end"/>
          </w:r>
          <w:r>
            <w:fldChar w:fldCharType="end"/>
          </w:r>
        </w:p>
        <w:p>
          <w:pPr>
            <w:pStyle w:val="6"/>
            <w:pageBreakBefore w:val="0"/>
            <w:tabs>
              <w:tab w:val="left" w:pos="1230"/>
              <w:tab w:val="right" w:leader="dot" w:pos="8296"/>
            </w:tabs>
            <w:kinsoku/>
            <w:wordWrap w:val="0"/>
            <w:overflowPunct/>
            <w:topLinePunct w:val="0"/>
            <w:autoSpaceDE/>
            <w:autoSpaceDN/>
            <w:bidi w:val="0"/>
            <w:snapToGrid/>
            <w:spacing w:line="360" w:lineRule="auto"/>
            <w:ind w:left="960"/>
            <w:rPr>
              <w:rFonts w:eastAsiaTheme="minorEastAsia"/>
              <w:sz w:val="21"/>
            </w:rPr>
          </w:pPr>
          <w:r>
            <w:fldChar w:fldCharType="begin"/>
          </w:r>
          <w:r>
            <w:instrText xml:space="preserve"> HYPERLINK \l "_Toc35931377" </w:instrText>
          </w:r>
          <w:r>
            <w:fldChar w:fldCharType="separate"/>
          </w:r>
          <w:r>
            <w:rPr>
              <w:rStyle w:val="15"/>
              <w:rFonts w:ascii="宋体" w:hAnsi="宋体"/>
            </w:rPr>
            <w:t>1.</w:t>
          </w:r>
          <w:r>
            <w:rPr>
              <w:rFonts w:eastAsiaTheme="minorEastAsia"/>
              <w:sz w:val="21"/>
            </w:rPr>
            <w:tab/>
          </w:r>
          <w:r>
            <w:rPr>
              <w:rStyle w:val="15"/>
              <w:rFonts w:ascii="宋体" w:hAnsi="宋体"/>
            </w:rPr>
            <w:t>弹出窗口阻止程序设置</w:t>
          </w:r>
          <w:r>
            <w:tab/>
          </w:r>
          <w:r>
            <w:fldChar w:fldCharType="begin"/>
          </w:r>
          <w:r>
            <w:instrText xml:space="preserve"> PAGEREF _Toc35931377 \h </w:instrText>
          </w:r>
          <w:r>
            <w:fldChar w:fldCharType="separate"/>
          </w:r>
          <w:r>
            <w:t>3</w:t>
          </w:r>
          <w:r>
            <w:fldChar w:fldCharType="end"/>
          </w:r>
          <w:r>
            <w:fldChar w:fldCharType="end"/>
          </w:r>
        </w:p>
        <w:p>
          <w:pPr>
            <w:pStyle w:val="6"/>
            <w:pageBreakBefore w:val="0"/>
            <w:tabs>
              <w:tab w:val="left" w:pos="1230"/>
              <w:tab w:val="right" w:leader="dot" w:pos="8296"/>
            </w:tabs>
            <w:kinsoku/>
            <w:wordWrap w:val="0"/>
            <w:overflowPunct/>
            <w:topLinePunct w:val="0"/>
            <w:autoSpaceDE/>
            <w:autoSpaceDN/>
            <w:bidi w:val="0"/>
            <w:snapToGrid/>
            <w:spacing w:line="360" w:lineRule="auto"/>
            <w:ind w:left="960"/>
            <w:rPr>
              <w:rFonts w:eastAsiaTheme="minorEastAsia"/>
              <w:sz w:val="21"/>
            </w:rPr>
          </w:pPr>
          <w:r>
            <w:fldChar w:fldCharType="begin"/>
          </w:r>
          <w:r>
            <w:instrText xml:space="preserve"> HYPERLINK \l "_Toc35931378" </w:instrText>
          </w:r>
          <w:r>
            <w:fldChar w:fldCharType="separate"/>
          </w:r>
          <w:r>
            <w:rPr>
              <w:rStyle w:val="15"/>
              <w:rFonts w:ascii="宋体" w:hAnsi="宋体"/>
            </w:rPr>
            <w:t>2.</w:t>
          </w:r>
          <w:r>
            <w:rPr>
              <w:rFonts w:eastAsiaTheme="minorEastAsia"/>
              <w:sz w:val="21"/>
            </w:rPr>
            <w:tab/>
          </w:r>
          <w:r>
            <w:rPr>
              <w:rStyle w:val="15"/>
              <w:rFonts w:ascii="宋体" w:hAnsi="宋体"/>
            </w:rPr>
            <w:t>兼容性视图设置</w:t>
          </w:r>
          <w:r>
            <w:tab/>
          </w:r>
          <w:r>
            <w:fldChar w:fldCharType="begin"/>
          </w:r>
          <w:r>
            <w:instrText xml:space="preserve"> PAGEREF _Toc35931378 \h </w:instrText>
          </w:r>
          <w:r>
            <w:fldChar w:fldCharType="separate"/>
          </w:r>
          <w:r>
            <w:t>4</w:t>
          </w:r>
          <w:r>
            <w:fldChar w:fldCharType="end"/>
          </w:r>
          <w:r>
            <w:fldChar w:fldCharType="end"/>
          </w:r>
        </w:p>
        <w:p>
          <w:pPr>
            <w:pStyle w:val="6"/>
            <w:pageBreakBefore w:val="0"/>
            <w:tabs>
              <w:tab w:val="left" w:pos="1230"/>
              <w:tab w:val="right" w:leader="dot" w:pos="8296"/>
            </w:tabs>
            <w:kinsoku/>
            <w:wordWrap w:val="0"/>
            <w:overflowPunct/>
            <w:topLinePunct w:val="0"/>
            <w:autoSpaceDE/>
            <w:autoSpaceDN/>
            <w:bidi w:val="0"/>
            <w:snapToGrid/>
            <w:spacing w:line="360" w:lineRule="auto"/>
            <w:ind w:left="960"/>
            <w:rPr>
              <w:rFonts w:eastAsiaTheme="minorEastAsia"/>
              <w:sz w:val="21"/>
            </w:rPr>
          </w:pPr>
          <w:r>
            <w:fldChar w:fldCharType="begin"/>
          </w:r>
          <w:r>
            <w:instrText xml:space="preserve"> HYPERLINK \l "_Toc35931379" </w:instrText>
          </w:r>
          <w:r>
            <w:fldChar w:fldCharType="separate"/>
          </w:r>
          <w:r>
            <w:rPr>
              <w:rStyle w:val="15"/>
              <w:rFonts w:ascii="宋体" w:hAnsi="宋体"/>
            </w:rPr>
            <w:t>3.</w:t>
          </w:r>
          <w:r>
            <w:rPr>
              <w:rFonts w:eastAsiaTheme="minorEastAsia"/>
              <w:sz w:val="21"/>
            </w:rPr>
            <w:tab/>
          </w:r>
          <w:r>
            <w:rPr>
              <w:rStyle w:val="15"/>
              <w:rFonts w:ascii="宋体" w:hAnsi="宋体"/>
            </w:rPr>
            <w:t>Internet选项设置</w:t>
          </w:r>
          <w:r>
            <w:tab/>
          </w:r>
          <w:r>
            <w:fldChar w:fldCharType="begin"/>
          </w:r>
          <w:r>
            <w:instrText xml:space="preserve"> PAGEREF _Toc35931379 \h </w:instrText>
          </w:r>
          <w:r>
            <w:fldChar w:fldCharType="separate"/>
          </w:r>
          <w:r>
            <w:t>5</w:t>
          </w:r>
          <w:r>
            <w:fldChar w:fldCharType="end"/>
          </w:r>
          <w:r>
            <w:fldChar w:fldCharType="end"/>
          </w:r>
        </w:p>
        <w:p>
          <w:pPr>
            <w:pStyle w:val="11"/>
            <w:pageBreakBefore w:val="0"/>
            <w:tabs>
              <w:tab w:val="right" w:leader="dot" w:pos="8296"/>
            </w:tabs>
            <w:kinsoku/>
            <w:wordWrap w:val="0"/>
            <w:overflowPunct/>
            <w:topLinePunct w:val="0"/>
            <w:autoSpaceDE/>
            <w:autoSpaceDN/>
            <w:bidi w:val="0"/>
            <w:snapToGrid/>
            <w:spacing w:line="360" w:lineRule="auto"/>
            <w:ind w:left="480"/>
            <w:rPr>
              <w:rFonts w:eastAsiaTheme="minorEastAsia"/>
              <w:sz w:val="21"/>
            </w:rPr>
          </w:pPr>
          <w:r>
            <w:fldChar w:fldCharType="begin"/>
          </w:r>
          <w:r>
            <w:instrText xml:space="preserve"> HYPERLINK \l "_Toc35931380" </w:instrText>
          </w:r>
          <w:r>
            <w:fldChar w:fldCharType="separate"/>
          </w:r>
          <w:r>
            <w:rPr>
              <w:rStyle w:val="15"/>
            </w:rPr>
            <w:t>二、系统操作</w:t>
          </w:r>
          <w:r>
            <w:tab/>
          </w:r>
          <w:r>
            <w:fldChar w:fldCharType="begin"/>
          </w:r>
          <w:r>
            <w:instrText xml:space="preserve"> PAGEREF _Toc35931380 \h </w:instrText>
          </w:r>
          <w:r>
            <w:fldChar w:fldCharType="separate"/>
          </w:r>
          <w:r>
            <w:t>8</w:t>
          </w:r>
          <w:r>
            <w:fldChar w:fldCharType="end"/>
          </w:r>
          <w:r>
            <w:fldChar w:fldCharType="end"/>
          </w:r>
        </w:p>
        <w:p>
          <w:pPr>
            <w:pStyle w:val="6"/>
            <w:pageBreakBefore w:val="0"/>
            <w:tabs>
              <w:tab w:val="right" w:leader="dot" w:pos="8296"/>
            </w:tabs>
            <w:kinsoku/>
            <w:wordWrap w:val="0"/>
            <w:overflowPunct/>
            <w:topLinePunct w:val="0"/>
            <w:autoSpaceDE/>
            <w:autoSpaceDN/>
            <w:bidi w:val="0"/>
            <w:snapToGrid/>
            <w:spacing w:line="360" w:lineRule="auto"/>
            <w:ind w:left="960"/>
            <w:rPr>
              <w:rFonts w:eastAsiaTheme="minorEastAsia"/>
              <w:sz w:val="21"/>
            </w:rPr>
          </w:pPr>
          <w:r>
            <w:fldChar w:fldCharType="begin"/>
          </w:r>
          <w:r>
            <w:instrText xml:space="preserve"> HYPERLINK \l "_Toc35931381" </w:instrText>
          </w:r>
          <w:r>
            <w:fldChar w:fldCharType="separate"/>
          </w:r>
          <w:r>
            <w:rPr>
              <w:rStyle w:val="15"/>
            </w:rPr>
            <w:t>1.登录系统</w:t>
          </w:r>
          <w:r>
            <w:tab/>
          </w:r>
          <w:r>
            <w:fldChar w:fldCharType="begin"/>
          </w:r>
          <w:r>
            <w:instrText xml:space="preserve"> PAGEREF _Toc35931381 \h </w:instrText>
          </w:r>
          <w:r>
            <w:fldChar w:fldCharType="separate"/>
          </w:r>
          <w:r>
            <w:t>8</w:t>
          </w:r>
          <w:r>
            <w:fldChar w:fldCharType="end"/>
          </w:r>
          <w:r>
            <w:fldChar w:fldCharType="end"/>
          </w:r>
        </w:p>
        <w:p>
          <w:pPr>
            <w:pStyle w:val="6"/>
            <w:pageBreakBefore w:val="0"/>
            <w:tabs>
              <w:tab w:val="right" w:leader="dot" w:pos="8296"/>
            </w:tabs>
            <w:kinsoku/>
            <w:wordWrap w:val="0"/>
            <w:overflowPunct/>
            <w:topLinePunct w:val="0"/>
            <w:autoSpaceDE/>
            <w:autoSpaceDN/>
            <w:bidi w:val="0"/>
            <w:snapToGrid/>
            <w:spacing w:line="360" w:lineRule="auto"/>
            <w:ind w:left="960"/>
            <w:rPr>
              <w:rFonts w:eastAsiaTheme="minorEastAsia"/>
              <w:sz w:val="21"/>
            </w:rPr>
          </w:pPr>
          <w:r>
            <w:fldChar w:fldCharType="begin"/>
          </w:r>
          <w:r>
            <w:instrText xml:space="preserve"> HYPERLINK \l "_Toc35931382" </w:instrText>
          </w:r>
          <w:r>
            <w:fldChar w:fldCharType="separate"/>
          </w:r>
          <w:r>
            <w:rPr>
              <w:rStyle w:val="15"/>
            </w:rPr>
            <w:t>2.开标</w:t>
          </w:r>
          <w:r>
            <w:tab/>
          </w:r>
          <w:r>
            <w:fldChar w:fldCharType="begin"/>
          </w:r>
          <w:r>
            <w:instrText xml:space="preserve"> PAGEREF _Toc35931382 \h </w:instrText>
          </w:r>
          <w:r>
            <w:fldChar w:fldCharType="separate"/>
          </w:r>
          <w:r>
            <w:t>10</w:t>
          </w:r>
          <w:r>
            <w:fldChar w:fldCharType="end"/>
          </w:r>
          <w:r>
            <w:fldChar w:fldCharType="end"/>
          </w:r>
        </w:p>
        <w:p>
          <w:pPr>
            <w:pStyle w:val="6"/>
            <w:pageBreakBefore w:val="0"/>
            <w:tabs>
              <w:tab w:val="right" w:leader="dot" w:pos="8296"/>
            </w:tabs>
            <w:kinsoku/>
            <w:wordWrap w:val="0"/>
            <w:overflowPunct/>
            <w:topLinePunct w:val="0"/>
            <w:autoSpaceDE/>
            <w:autoSpaceDN/>
            <w:bidi w:val="0"/>
            <w:snapToGrid/>
            <w:spacing w:line="360" w:lineRule="auto"/>
            <w:ind w:left="960"/>
            <w:rPr>
              <w:rFonts w:eastAsiaTheme="minorEastAsia"/>
              <w:sz w:val="21"/>
            </w:rPr>
          </w:pPr>
          <w:r>
            <w:fldChar w:fldCharType="begin"/>
          </w:r>
          <w:r>
            <w:instrText xml:space="preserve"> HYPERLINK \l "_Toc35931383" </w:instrText>
          </w:r>
          <w:r>
            <w:fldChar w:fldCharType="separate"/>
          </w:r>
          <w:r>
            <w:rPr>
              <w:rStyle w:val="15"/>
            </w:rPr>
            <w:t>3.二次报价</w:t>
          </w:r>
          <w:r>
            <w:tab/>
          </w:r>
          <w:r>
            <w:fldChar w:fldCharType="begin"/>
          </w:r>
          <w:r>
            <w:instrText xml:space="preserve"> PAGEREF _Toc35931383 \h </w:instrText>
          </w:r>
          <w:r>
            <w:fldChar w:fldCharType="separate"/>
          </w:r>
          <w:r>
            <w:t>16</w:t>
          </w:r>
          <w:r>
            <w:fldChar w:fldCharType="end"/>
          </w:r>
          <w:r>
            <w:fldChar w:fldCharType="end"/>
          </w:r>
        </w:p>
        <w:p>
          <w:pPr>
            <w:pageBreakBefore w:val="0"/>
            <w:kinsoku/>
            <w:wordWrap w:val="0"/>
            <w:overflowPunct/>
            <w:topLinePunct w:val="0"/>
            <w:autoSpaceDE/>
            <w:autoSpaceDN/>
            <w:bidi w:val="0"/>
            <w:snapToGrid/>
            <w:spacing w:line="360" w:lineRule="auto"/>
          </w:pPr>
          <w:r>
            <w:rPr>
              <w:b/>
              <w:bCs/>
              <w:lang w:val="zh-CN"/>
            </w:rPr>
            <w:fldChar w:fldCharType="end"/>
          </w:r>
        </w:p>
      </w:sdtContent>
    </w:sdt>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Style w:val="3"/>
        <w:pageBreakBefore w:val="0"/>
        <w:numPr>
          <w:ilvl w:val="0"/>
          <w:numId w:val="1"/>
        </w:numPr>
        <w:kinsoku/>
        <w:wordWrap w:val="0"/>
        <w:overflowPunct/>
        <w:topLinePunct w:val="0"/>
        <w:autoSpaceDE/>
        <w:autoSpaceDN/>
        <w:bidi w:val="0"/>
        <w:snapToGrid/>
        <w:spacing w:line="360" w:lineRule="auto"/>
        <w:rPr>
          <w:rFonts w:ascii="宋体" w:hAnsi="宋体" w:eastAsia="宋体"/>
          <w:sz w:val="36"/>
          <w:szCs w:val="36"/>
        </w:rPr>
      </w:pPr>
      <w:bookmarkStart w:id="0" w:name="_Toc35931376"/>
      <w:r>
        <w:rPr>
          <w:rFonts w:hint="eastAsia" w:ascii="宋体" w:hAnsi="宋体" w:eastAsia="宋体"/>
          <w:sz w:val="36"/>
          <w:szCs w:val="36"/>
        </w:rPr>
        <w:t>浏览器设置</w:t>
      </w:r>
      <w:bookmarkEnd w:id="0"/>
    </w:p>
    <w:p>
      <w:pPr>
        <w:pageBreakBefore w:val="0"/>
        <w:kinsoku/>
        <w:wordWrap w:val="0"/>
        <w:overflowPunct/>
        <w:topLinePunct w:val="0"/>
        <w:autoSpaceDE/>
        <w:autoSpaceDN/>
        <w:bidi w:val="0"/>
        <w:snapToGrid/>
        <w:spacing w:line="360" w:lineRule="auto"/>
        <w:ind w:left="420"/>
        <w:jc w:val="left"/>
        <w:rPr>
          <w:rFonts w:ascii="宋体" w:hAnsi="宋体" w:cs="Times New Roman"/>
          <w:b/>
          <w:bCs/>
          <w:sz w:val="28"/>
          <w:szCs w:val="28"/>
        </w:rPr>
      </w:pPr>
      <w:bookmarkStart w:id="1" w:name="_Hlk32673637"/>
      <w:r>
        <w:rPr>
          <w:rFonts w:ascii="宋体" w:hAnsi="宋体" w:cs="Times New Roman"/>
          <w:b/>
          <w:bCs/>
          <w:sz w:val="28"/>
          <w:szCs w:val="28"/>
        </w:rPr>
        <w:t>为了系统相关插件能正常加载，请按以下步骤进行IE浏览器配置。</w:t>
      </w:r>
      <w:bookmarkEnd w:id="1"/>
    </w:p>
    <w:p>
      <w:pPr>
        <w:pStyle w:val="4"/>
        <w:pageBreakBefore w:val="0"/>
        <w:numPr>
          <w:ilvl w:val="0"/>
          <w:numId w:val="2"/>
        </w:numPr>
        <w:kinsoku/>
        <w:wordWrap w:val="0"/>
        <w:overflowPunct/>
        <w:topLinePunct w:val="0"/>
        <w:autoSpaceDE/>
        <w:autoSpaceDN/>
        <w:bidi w:val="0"/>
        <w:snapToGrid/>
        <w:spacing w:line="360" w:lineRule="auto"/>
        <w:rPr>
          <w:rFonts w:ascii="宋体" w:hAnsi="宋体"/>
        </w:rPr>
      </w:pPr>
      <w:bookmarkStart w:id="2" w:name="_Toc35931377"/>
      <w:r>
        <w:rPr>
          <w:rFonts w:hint="eastAsia" w:ascii="宋体" w:hAnsi="宋体"/>
        </w:rPr>
        <w:t>弹出窗口阻止程序设置</w:t>
      </w:r>
      <w:bookmarkEnd w:id="2"/>
    </w:p>
    <w:p>
      <w:pPr>
        <w:pageBreakBefore w:val="0"/>
        <w:kinsoku/>
        <w:wordWrap w:val="0"/>
        <w:overflowPunct/>
        <w:topLinePunct w:val="0"/>
        <w:autoSpaceDE/>
        <w:autoSpaceDN/>
        <w:bidi w:val="0"/>
        <w:snapToGrid/>
        <w:spacing w:line="360" w:lineRule="auto"/>
        <w:ind w:left="420" w:firstLine="300"/>
        <w:jc w:val="left"/>
        <w:rPr>
          <w:rFonts w:ascii="宋体" w:hAnsi="宋体" w:cs="Times New Roman"/>
          <w:szCs w:val="24"/>
        </w:rPr>
      </w:pPr>
      <w:r>
        <w:rPr>
          <w:rFonts w:ascii="宋体" w:hAnsi="宋体" w:cs="Times New Roman"/>
          <w:szCs w:val="24"/>
        </w:rPr>
        <w:t>打开IE浏览器进入不见面交易系统首页，在浏览器“工具（T）” → “弹出窗口阻止程序（</w:t>
      </w:r>
      <w:r>
        <w:rPr>
          <w:rFonts w:ascii="宋体" w:hAnsi="宋体" w:cs="Times New Roman"/>
          <w:szCs w:val="24"/>
          <w:u w:val="single"/>
        </w:rPr>
        <w:t>P</w:t>
      </w:r>
      <w:r>
        <w:rPr>
          <w:rFonts w:ascii="宋体" w:hAnsi="宋体" w:cs="Times New Roman"/>
          <w:szCs w:val="24"/>
        </w:rPr>
        <w:t>）”下点击“关闭弹出窗口阻止程序（</w:t>
      </w:r>
      <w:r>
        <w:rPr>
          <w:rFonts w:ascii="宋体" w:hAnsi="宋体" w:cs="Times New Roman"/>
          <w:szCs w:val="24"/>
          <w:u w:val="single"/>
        </w:rPr>
        <w:t>B</w:t>
      </w:r>
      <w:r>
        <w:rPr>
          <w:rFonts w:ascii="宋体" w:hAnsi="宋体" w:cs="Times New Roman"/>
          <w:szCs w:val="24"/>
        </w:rPr>
        <w:t>）”（【图1】所示）。</w:t>
      </w:r>
    </w:p>
    <w:p>
      <w:pPr>
        <w:pageBreakBefore w:val="0"/>
        <w:kinsoku/>
        <w:wordWrap w:val="0"/>
        <w:overflowPunct/>
        <w:topLinePunct w:val="0"/>
        <w:autoSpaceDE/>
        <w:autoSpaceDN/>
        <w:bidi w:val="0"/>
        <w:snapToGrid/>
        <w:spacing w:line="360" w:lineRule="auto"/>
        <w:ind w:left="780"/>
        <w:rPr>
          <w:rFonts w:ascii="宋体" w:hAnsi="宋体" w:cs="Times New Roman"/>
          <w:szCs w:val="24"/>
        </w:rPr>
      </w:pPr>
      <w:r>
        <w:rPr>
          <w:rFonts w:ascii="宋体" w:hAnsi="宋体" w:cs="Times New Roman"/>
          <w:szCs w:val="24"/>
        </w:rPr>
        <w:drawing>
          <wp:inline distT="0" distB="0" distL="0" distR="0">
            <wp:extent cx="5268595" cy="4002405"/>
            <wp:effectExtent l="0" t="0" r="0" b="0"/>
            <wp:docPr id="1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68595" cy="4002405"/>
                    </a:xfrm>
                    <a:prstGeom prst="rect">
                      <a:avLst/>
                    </a:prstGeom>
                    <a:noFill/>
                    <a:ln>
                      <a:noFill/>
                    </a:ln>
                  </pic:spPr>
                </pic:pic>
              </a:graphicData>
            </a:graphic>
          </wp:inline>
        </w:drawing>
      </w:r>
    </w:p>
    <w:p>
      <w:pPr>
        <w:pageBreakBefore w:val="0"/>
        <w:kinsoku/>
        <w:wordWrap w:val="0"/>
        <w:overflowPunct/>
        <w:topLinePunct w:val="0"/>
        <w:autoSpaceDE/>
        <w:autoSpaceDN/>
        <w:bidi w:val="0"/>
        <w:snapToGrid/>
        <w:spacing w:line="360" w:lineRule="auto"/>
        <w:ind w:left="780"/>
        <w:jc w:val="center"/>
        <w:rPr>
          <w:rFonts w:ascii="宋体" w:hAnsi="宋体" w:cs="Times New Roman"/>
          <w:sz w:val="18"/>
          <w:szCs w:val="18"/>
        </w:rPr>
      </w:pPr>
      <w:r>
        <w:rPr>
          <w:rFonts w:ascii="宋体" w:hAnsi="宋体" w:cs="Times New Roman"/>
          <w:sz w:val="18"/>
          <w:szCs w:val="18"/>
        </w:rPr>
        <w:t>【图1】</w:t>
      </w:r>
    </w:p>
    <w:p>
      <w:pPr>
        <w:pStyle w:val="4"/>
        <w:pageBreakBefore w:val="0"/>
        <w:numPr>
          <w:ilvl w:val="0"/>
          <w:numId w:val="2"/>
        </w:numPr>
        <w:kinsoku/>
        <w:wordWrap w:val="0"/>
        <w:overflowPunct/>
        <w:topLinePunct w:val="0"/>
        <w:autoSpaceDE/>
        <w:autoSpaceDN/>
        <w:bidi w:val="0"/>
        <w:snapToGrid/>
        <w:spacing w:line="360" w:lineRule="auto"/>
        <w:rPr>
          <w:rFonts w:ascii="宋体" w:hAnsi="宋体"/>
        </w:rPr>
      </w:pPr>
      <w:bookmarkStart w:id="3" w:name="_Toc35931378"/>
      <w:r>
        <w:rPr>
          <w:rFonts w:hint="eastAsia" w:ascii="宋体" w:hAnsi="宋体"/>
        </w:rPr>
        <w:t>兼容性视图设置</w:t>
      </w:r>
      <w:bookmarkEnd w:id="3"/>
    </w:p>
    <w:p>
      <w:pPr>
        <w:pageBreakBefore w:val="0"/>
        <w:kinsoku/>
        <w:wordWrap w:val="0"/>
        <w:overflowPunct/>
        <w:topLinePunct w:val="0"/>
        <w:autoSpaceDE/>
        <w:autoSpaceDN/>
        <w:bidi w:val="0"/>
        <w:snapToGrid/>
        <w:spacing w:line="360" w:lineRule="auto"/>
        <w:ind w:left="210" w:firstLine="720"/>
        <w:jc w:val="left"/>
        <w:rPr>
          <w:rFonts w:ascii="宋体" w:hAnsi="宋体" w:cs="Times New Roman"/>
          <w:szCs w:val="24"/>
        </w:rPr>
      </w:pPr>
      <w:r>
        <w:rPr>
          <w:rFonts w:ascii="宋体" w:hAnsi="宋体" w:cs="Times New Roman"/>
          <w:szCs w:val="24"/>
        </w:rPr>
        <w:t>打开IE浏览器进入不见面交易系统，在浏览器“工具（T）” 下点击 “兼容性视图设置（B）”（【图2】所示）。在弹出的“兼容性视图设置”界面，点击“添加”按钮，将不见面交易系统地址添加至“已添加到兼容性视图中的网站（</w:t>
      </w:r>
      <w:r>
        <w:rPr>
          <w:rFonts w:ascii="宋体" w:hAnsi="宋体" w:cs="Times New Roman"/>
          <w:szCs w:val="24"/>
          <w:u w:val="single"/>
        </w:rPr>
        <w:t>W</w:t>
      </w:r>
      <w:r>
        <w:rPr>
          <w:rFonts w:ascii="宋体" w:hAnsi="宋体" w:cs="Times New Roman"/>
          <w:szCs w:val="24"/>
        </w:rPr>
        <w:t>）”区域内（【图3】所示）。</w:t>
      </w:r>
    </w:p>
    <w:p>
      <w:pPr>
        <w:pageBreakBefore w:val="0"/>
        <w:kinsoku/>
        <w:wordWrap w:val="0"/>
        <w:overflowPunct/>
        <w:topLinePunct w:val="0"/>
        <w:autoSpaceDE/>
        <w:autoSpaceDN/>
        <w:bidi w:val="0"/>
        <w:snapToGrid/>
        <w:spacing w:line="360" w:lineRule="auto"/>
        <w:jc w:val="left"/>
        <w:rPr>
          <w:rFonts w:ascii="Times New Roman" w:hAnsi="Times New Roman" w:cs="Times New Roman"/>
          <w:szCs w:val="24"/>
        </w:rPr>
      </w:pPr>
      <w:r>
        <w:rPr>
          <w:rFonts w:ascii="Times New Roman" w:hAnsi="Times New Roman" w:cs="Times New Roman"/>
          <w:szCs w:val="24"/>
        </w:rPr>
        <w:drawing>
          <wp:inline distT="0" distB="0" distL="0" distR="0">
            <wp:extent cx="2602230" cy="3045460"/>
            <wp:effectExtent l="0" t="0" r="0" b="0"/>
            <wp:docPr id="31"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602230" cy="3045460"/>
                    </a:xfrm>
                    <a:prstGeom prst="rect">
                      <a:avLst/>
                    </a:prstGeom>
                    <a:noFill/>
                    <a:ln>
                      <a:noFill/>
                    </a:ln>
                  </pic:spPr>
                </pic:pic>
              </a:graphicData>
            </a:graphic>
          </wp:inline>
        </w:drawing>
      </w:r>
      <w:r>
        <w:rPr>
          <w:rFonts w:ascii="Times New Roman" w:hAnsi="Times New Roman" w:cs="Times New Roman"/>
          <w:szCs w:val="24"/>
        </w:rPr>
        <w:t xml:space="preserve"> </w:t>
      </w:r>
      <w:r>
        <w:rPr>
          <w:rFonts w:ascii="Times New Roman" w:hAnsi="Times New Roman" w:cs="Times New Roman"/>
          <w:szCs w:val="24"/>
        </w:rPr>
        <w:drawing>
          <wp:inline distT="0" distB="0" distL="0" distR="0">
            <wp:extent cx="2574290" cy="3446780"/>
            <wp:effectExtent l="0" t="0" r="0" b="0"/>
            <wp:docPr id="2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574290" cy="3446780"/>
                    </a:xfrm>
                    <a:prstGeom prst="rect">
                      <a:avLst/>
                    </a:prstGeom>
                    <a:noFill/>
                    <a:ln>
                      <a:noFill/>
                    </a:ln>
                  </pic:spPr>
                </pic:pic>
              </a:graphicData>
            </a:graphic>
          </wp:inline>
        </w:drawing>
      </w:r>
    </w:p>
    <w:p>
      <w:pPr>
        <w:pageBreakBefore w:val="0"/>
        <w:kinsoku/>
        <w:wordWrap w:val="0"/>
        <w:overflowPunct/>
        <w:topLinePunct w:val="0"/>
        <w:autoSpaceDE/>
        <w:autoSpaceDN/>
        <w:bidi w:val="0"/>
        <w:snapToGrid/>
        <w:spacing w:line="360" w:lineRule="auto"/>
        <w:jc w:val="center"/>
        <w:rPr>
          <w:rFonts w:ascii="Times New Roman" w:hAnsi="Times New Roman" w:cs="Times New Roman"/>
          <w:sz w:val="18"/>
          <w:szCs w:val="18"/>
        </w:rPr>
      </w:pPr>
      <w:r>
        <w:rPr>
          <w:rFonts w:ascii="Times New Roman" w:hAnsi="Times New Roman" w:cs="Times New Roman"/>
          <w:sz w:val="18"/>
          <w:szCs w:val="18"/>
        </w:rPr>
        <w:t>【图2】                                   【图3】</w:t>
      </w:r>
    </w:p>
    <w:p>
      <w:pPr>
        <w:pStyle w:val="4"/>
        <w:pageBreakBefore w:val="0"/>
        <w:numPr>
          <w:ilvl w:val="0"/>
          <w:numId w:val="2"/>
        </w:numPr>
        <w:kinsoku/>
        <w:wordWrap w:val="0"/>
        <w:overflowPunct/>
        <w:topLinePunct w:val="0"/>
        <w:autoSpaceDE/>
        <w:autoSpaceDN/>
        <w:bidi w:val="0"/>
        <w:snapToGrid/>
        <w:spacing w:line="360" w:lineRule="auto"/>
        <w:rPr>
          <w:rFonts w:ascii="宋体" w:hAnsi="宋体"/>
        </w:rPr>
      </w:pPr>
      <w:bookmarkStart w:id="4" w:name="_Toc35931379"/>
      <w:r>
        <w:rPr>
          <w:rFonts w:ascii="宋体" w:hAnsi="宋体"/>
        </w:rPr>
        <w:t>I</w:t>
      </w:r>
      <w:r>
        <w:rPr>
          <w:rFonts w:hint="eastAsia" w:ascii="宋体" w:hAnsi="宋体"/>
        </w:rPr>
        <w:t>nternet选项设置</w:t>
      </w:r>
      <w:bookmarkEnd w:id="4"/>
    </w:p>
    <w:p>
      <w:pPr>
        <w:pStyle w:val="5"/>
        <w:pageBreakBefore w:val="0"/>
        <w:kinsoku/>
        <w:wordWrap w:val="0"/>
        <w:overflowPunct/>
        <w:topLinePunct w:val="0"/>
        <w:autoSpaceDE/>
        <w:autoSpaceDN/>
        <w:bidi w:val="0"/>
        <w:snapToGrid/>
        <w:spacing w:line="360" w:lineRule="auto"/>
        <w:ind w:left="420"/>
        <w:rPr>
          <w:rFonts w:ascii="宋体" w:hAnsi="宋体" w:eastAsia="宋体"/>
        </w:rPr>
      </w:pPr>
      <w:r>
        <w:rPr>
          <w:rFonts w:hint="eastAsia" w:ascii="宋体" w:hAnsi="宋体" w:eastAsia="宋体"/>
        </w:rPr>
        <w:t>3</w:t>
      </w:r>
      <w:r>
        <w:rPr>
          <w:rFonts w:ascii="宋体" w:hAnsi="宋体" w:eastAsia="宋体"/>
        </w:rPr>
        <w:t>.1</w:t>
      </w:r>
      <w:r>
        <w:rPr>
          <w:rFonts w:hint="eastAsia" w:ascii="宋体" w:hAnsi="宋体" w:eastAsia="宋体"/>
        </w:rPr>
        <w:t>安全站点设置</w:t>
      </w:r>
    </w:p>
    <w:p>
      <w:pPr>
        <w:pageBreakBefore w:val="0"/>
        <w:kinsoku/>
        <w:wordWrap w:val="0"/>
        <w:overflowPunct/>
        <w:topLinePunct w:val="0"/>
        <w:autoSpaceDE/>
        <w:autoSpaceDN/>
        <w:bidi w:val="0"/>
        <w:snapToGrid/>
        <w:spacing w:line="360" w:lineRule="auto"/>
        <w:ind w:left="420" w:firstLine="480" w:firstLineChars="200"/>
        <w:jc w:val="left"/>
        <w:rPr>
          <w:rFonts w:ascii="宋体" w:hAnsi="宋体" w:cs="Times New Roman"/>
          <w:szCs w:val="24"/>
        </w:rPr>
      </w:pPr>
      <w:r>
        <w:rPr>
          <w:rFonts w:ascii="宋体" w:hAnsi="宋体" w:cs="Times New Roman"/>
          <w:szCs w:val="24"/>
        </w:rPr>
        <w:t>打开IE浏览器进入不见面交易系统，在浏览器“工具（T）” 下点击 “Internet选项（O）”（【图4】所示）。</w:t>
      </w:r>
    </w:p>
    <w:p>
      <w:pPr>
        <w:pageBreakBefore w:val="0"/>
        <w:kinsoku/>
        <w:wordWrap w:val="0"/>
        <w:overflowPunct/>
        <w:topLinePunct w:val="0"/>
        <w:autoSpaceDE/>
        <w:autoSpaceDN/>
        <w:bidi w:val="0"/>
        <w:snapToGrid/>
        <w:spacing w:line="360" w:lineRule="auto"/>
        <w:jc w:val="center"/>
        <w:rPr>
          <w:rFonts w:ascii="Times New Roman" w:hAnsi="Times New Roman" w:cs="Times New Roman"/>
          <w:szCs w:val="24"/>
        </w:rPr>
      </w:pPr>
      <w:r>
        <w:rPr>
          <w:rFonts w:ascii="Times New Roman" w:hAnsi="Times New Roman" w:cs="Times New Roman"/>
          <w:szCs w:val="24"/>
        </w:rPr>
        <w:drawing>
          <wp:inline distT="0" distB="0" distL="0" distR="0">
            <wp:extent cx="3945890" cy="4599940"/>
            <wp:effectExtent l="0" t="0" r="0" b="0"/>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945890" cy="4599940"/>
                    </a:xfrm>
                    <a:prstGeom prst="rect">
                      <a:avLst/>
                    </a:prstGeom>
                    <a:noFill/>
                    <a:ln>
                      <a:noFill/>
                    </a:ln>
                  </pic:spPr>
                </pic:pic>
              </a:graphicData>
            </a:graphic>
          </wp:inline>
        </w:drawing>
      </w:r>
    </w:p>
    <w:p>
      <w:pPr>
        <w:pageBreakBefore w:val="0"/>
        <w:kinsoku/>
        <w:wordWrap w:val="0"/>
        <w:overflowPunct/>
        <w:topLinePunct w:val="0"/>
        <w:autoSpaceDE/>
        <w:autoSpaceDN/>
        <w:bidi w:val="0"/>
        <w:snapToGrid/>
        <w:spacing w:line="360" w:lineRule="auto"/>
        <w:jc w:val="center"/>
        <w:rPr>
          <w:rFonts w:ascii="Times New Roman" w:hAnsi="Times New Roman" w:cs="Times New Roman"/>
          <w:sz w:val="18"/>
          <w:szCs w:val="18"/>
        </w:rPr>
      </w:pPr>
      <w:r>
        <w:rPr>
          <w:rFonts w:ascii="Times New Roman" w:hAnsi="Times New Roman" w:cs="Times New Roman"/>
          <w:sz w:val="18"/>
          <w:szCs w:val="18"/>
        </w:rPr>
        <w:t>【图4】</w:t>
      </w:r>
    </w:p>
    <w:p>
      <w:pPr>
        <w:pageBreakBefore w:val="0"/>
        <w:kinsoku/>
        <w:wordWrap w:val="0"/>
        <w:overflowPunct/>
        <w:topLinePunct w:val="0"/>
        <w:autoSpaceDE/>
        <w:autoSpaceDN/>
        <w:bidi w:val="0"/>
        <w:snapToGrid/>
        <w:spacing w:line="360" w:lineRule="auto"/>
        <w:ind w:left="720" w:firstLine="240" w:firstLineChars="100"/>
        <w:jc w:val="left"/>
        <w:rPr>
          <w:rFonts w:ascii="宋体" w:hAnsi="宋体" w:cs="Times New Roman"/>
          <w:szCs w:val="24"/>
        </w:rPr>
      </w:pPr>
      <w:r>
        <w:rPr>
          <w:rFonts w:ascii="宋体" w:hAnsi="宋体" w:cs="Times New Roman"/>
          <w:szCs w:val="24"/>
        </w:rPr>
        <w:t>在弹出的“Internet选项”弹框页面，进入“安全”页签，选择“受信任的站点”，点击“站点”按钮，在弹出的“受信任的站点”页面点击“添加”按钮，将</w:t>
      </w:r>
      <w:r>
        <w:rPr>
          <w:rFonts w:hint="eastAsia" w:ascii="宋体" w:hAnsi="宋体" w:cs="Times New Roman"/>
          <w:szCs w:val="24"/>
        </w:rPr>
        <w:t xml:space="preserve"> </w:t>
      </w:r>
      <w:r>
        <w:rPr>
          <w:rFonts w:ascii="宋体" w:hAnsi="宋体" w:cs="Times New Roman"/>
          <w:szCs w:val="24"/>
        </w:rPr>
        <w:t>不见面交易系统地址添加进可信任区（【图5】所示）。</w:t>
      </w:r>
    </w:p>
    <w:p>
      <w:pPr>
        <w:pageBreakBefore w:val="0"/>
        <w:kinsoku/>
        <w:wordWrap w:val="0"/>
        <w:overflowPunct/>
        <w:topLinePunct w:val="0"/>
        <w:autoSpaceDE/>
        <w:autoSpaceDN/>
        <w:bidi w:val="0"/>
        <w:snapToGrid/>
        <w:spacing w:line="360" w:lineRule="auto"/>
        <w:jc w:val="center"/>
        <w:rPr>
          <w:rFonts w:ascii="Times New Roman" w:hAnsi="Times New Roman" w:cs="Times New Roman"/>
          <w:szCs w:val="24"/>
        </w:rPr>
      </w:pPr>
      <w:r>
        <w:rPr>
          <w:rFonts w:ascii="Times New Roman" w:hAnsi="Times New Roman" w:cs="Times New Roman"/>
          <w:szCs w:val="24"/>
        </w:rPr>
        <w:drawing>
          <wp:inline distT="0" distB="0" distL="0" distR="0">
            <wp:extent cx="5268595" cy="3924935"/>
            <wp:effectExtent l="0" t="0" r="0" b="0"/>
            <wp:docPr id="59"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8595" cy="3924935"/>
                    </a:xfrm>
                    <a:prstGeom prst="rect">
                      <a:avLst/>
                    </a:prstGeom>
                    <a:noFill/>
                    <a:ln>
                      <a:noFill/>
                    </a:ln>
                  </pic:spPr>
                </pic:pic>
              </a:graphicData>
            </a:graphic>
          </wp:inline>
        </w:drawing>
      </w:r>
    </w:p>
    <w:p>
      <w:pPr>
        <w:pageBreakBefore w:val="0"/>
        <w:kinsoku/>
        <w:wordWrap w:val="0"/>
        <w:overflowPunct/>
        <w:topLinePunct w:val="0"/>
        <w:autoSpaceDE/>
        <w:autoSpaceDN/>
        <w:bidi w:val="0"/>
        <w:snapToGrid/>
        <w:spacing w:line="360" w:lineRule="auto"/>
        <w:jc w:val="center"/>
        <w:rPr>
          <w:rFonts w:ascii="Times New Roman" w:hAnsi="Times New Roman" w:cs="Times New Roman"/>
          <w:sz w:val="18"/>
          <w:szCs w:val="18"/>
        </w:rPr>
      </w:pPr>
      <w:r>
        <w:rPr>
          <w:rFonts w:ascii="Times New Roman" w:hAnsi="Times New Roman" w:cs="Times New Roman"/>
          <w:sz w:val="18"/>
          <w:szCs w:val="18"/>
        </w:rPr>
        <w:t>【图5】</w:t>
      </w:r>
    </w:p>
    <w:p>
      <w:pPr>
        <w:pStyle w:val="5"/>
        <w:pageBreakBefore w:val="0"/>
        <w:numPr>
          <w:ilvl w:val="1"/>
          <w:numId w:val="2"/>
        </w:numPr>
        <w:kinsoku/>
        <w:wordWrap w:val="0"/>
        <w:overflowPunct/>
        <w:topLinePunct w:val="0"/>
        <w:autoSpaceDE/>
        <w:autoSpaceDN/>
        <w:bidi w:val="0"/>
        <w:snapToGrid/>
        <w:spacing w:line="360" w:lineRule="auto"/>
        <w:rPr>
          <w:rFonts w:ascii="宋体" w:hAnsi="宋体" w:eastAsia="宋体"/>
        </w:rPr>
      </w:pPr>
      <w:r>
        <w:rPr>
          <w:rFonts w:hint="eastAsia" w:ascii="宋体" w:hAnsi="宋体" w:eastAsia="宋体"/>
        </w:rPr>
        <w:t>ActiveX访问权限设置</w:t>
      </w:r>
    </w:p>
    <w:p>
      <w:pPr>
        <w:pageBreakBefore w:val="0"/>
        <w:kinsoku/>
        <w:wordWrap w:val="0"/>
        <w:overflowPunct/>
        <w:topLinePunct w:val="0"/>
        <w:autoSpaceDE/>
        <w:autoSpaceDN/>
        <w:bidi w:val="0"/>
        <w:snapToGrid/>
        <w:spacing w:line="360" w:lineRule="auto"/>
        <w:ind w:left="420" w:firstLine="480" w:firstLineChars="200"/>
        <w:jc w:val="left"/>
        <w:rPr>
          <w:rFonts w:ascii="宋体" w:hAnsi="宋体" w:cs="Times New Roman"/>
          <w:szCs w:val="24"/>
        </w:rPr>
      </w:pPr>
      <w:r>
        <w:rPr>
          <w:rFonts w:ascii="宋体" w:hAnsi="宋体" w:cs="Times New Roman"/>
          <w:szCs w:val="24"/>
        </w:rPr>
        <w:t>在弹出的“Internet选项”弹框页面，进入“安全”页签，选择“受信任的站点”，点击“自定义级别（C）...”按钮，在弹出的“安全设置-受信任的站点区域”页面，将“ActiveX控件和插件”项下的所有含ActiveX的子项启用（【图6】所示）。</w:t>
      </w:r>
    </w:p>
    <w:p>
      <w:pPr>
        <w:pageBreakBefore w:val="0"/>
        <w:kinsoku/>
        <w:wordWrap w:val="0"/>
        <w:overflowPunct/>
        <w:topLinePunct w:val="0"/>
        <w:autoSpaceDE/>
        <w:autoSpaceDN/>
        <w:bidi w:val="0"/>
        <w:snapToGrid/>
        <w:spacing w:line="360" w:lineRule="auto"/>
        <w:ind w:left="420"/>
        <w:rPr>
          <w:rFonts w:ascii="Times New Roman" w:hAnsi="Times New Roman" w:cs="Times New Roman"/>
          <w:szCs w:val="24"/>
        </w:rPr>
      </w:pPr>
      <w:r>
        <w:rPr>
          <w:rFonts w:ascii="Times New Roman" w:hAnsi="Times New Roman" w:cs="Times New Roman"/>
          <w:szCs w:val="24"/>
        </w:rPr>
        <w:drawing>
          <wp:inline distT="0" distB="0" distL="0" distR="0">
            <wp:extent cx="5268595" cy="3763010"/>
            <wp:effectExtent l="0" t="0" r="0" b="0"/>
            <wp:docPr id="6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8595" cy="3763010"/>
                    </a:xfrm>
                    <a:prstGeom prst="rect">
                      <a:avLst/>
                    </a:prstGeom>
                    <a:noFill/>
                    <a:ln>
                      <a:noFill/>
                    </a:ln>
                  </pic:spPr>
                </pic:pic>
              </a:graphicData>
            </a:graphic>
          </wp:inline>
        </w:drawing>
      </w:r>
    </w:p>
    <w:p>
      <w:pPr>
        <w:pageBreakBefore w:val="0"/>
        <w:kinsoku/>
        <w:wordWrap w:val="0"/>
        <w:overflowPunct/>
        <w:topLinePunct w:val="0"/>
        <w:autoSpaceDE/>
        <w:autoSpaceDN/>
        <w:bidi w:val="0"/>
        <w:snapToGrid/>
        <w:spacing w:line="360" w:lineRule="auto"/>
        <w:ind w:left="420"/>
        <w:jc w:val="center"/>
        <w:rPr>
          <w:rFonts w:ascii="Times New Roman" w:hAnsi="Times New Roman" w:cs="Times New Roman"/>
          <w:sz w:val="18"/>
          <w:szCs w:val="18"/>
        </w:rPr>
      </w:pPr>
      <w:r>
        <w:rPr>
          <w:rFonts w:ascii="Times New Roman" w:hAnsi="Times New Roman" w:cs="Times New Roman"/>
          <w:sz w:val="18"/>
          <w:szCs w:val="18"/>
        </w:rPr>
        <w:t>【图6】</w:t>
      </w:r>
    </w:p>
    <w:p>
      <w:pPr>
        <w:pStyle w:val="3"/>
        <w:pageBreakBefore w:val="0"/>
        <w:kinsoku/>
        <w:wordWrap w:val="0"/>
        <w:overflowPunct/>
        <w:topLinePunct w:val="0"/>
        <w:autoSpaceDE/>
        <w:autoSpaceDN/>
        <w:bidi w:val="0"/>
        <w:snapToGrid/>
        <w:spacing w:line="360" w:lineRule="auto"/>
      </w:pPr>
      <w:bookmarkStart w:id="5" w:name="_Toc35931380"/>
      <w:r>
        <w:rPr>
          <w:rFonts w:hint="eastAsia"/>
        </w:rPr>
        <w:t>二、系统操作</w:t>
      </w:r>
      <w:bookmarkEnd w:id="5"/>
    </w:p>
    <w:p>
      <w:pPr>
        <w:pStyle w:val="23"/>
        <w:pageBreakBefore w:val="0"/>
        <w:kinsoku/>
        <w:wordWrap w:val="0"/>
        <w:overflowPunct/>
        <w:topLinePunct w:val="0"/>
        <w:autoSpaceDE/>
        <w:autoSpaceDN/>
        <w:bidi w:val="0"/>
        <w:snapToGrid/>
        <w:spacing w:line="360" w:lineRule="auto"/>
        <w:ind w:left="420" w:firstLine="0" w:firstLineChars="0"/>
        <w:rPr>
          <w:rFonts w:ascii="宋体" w:hAnsi="宋体" w:cs="Times New Roman"/>
          <w:b/>
          <w:szCs w:val="21"/>
        </w:rPr>
      </w:pPr>
      <w:r>
        <w:rPr>
          <w:rFonts w:ascii="宋体" w:hAnsi="宋体" w:cs="Times New Roman"/>
          <w:b/>
          <w:color w:val="FF0000"/>
          <w:szCs w:val="21"/>
        </w:rPr>
        <w:t>友情提示：</w:t>
      </w:r>
    </w:p>
    <w:p>
      <w:pPr>
        <w:pStyle w:val="23"/>
        <w:pageBreakBefore w:val="0"/>
        <w:kinsoku/>
        <w:wordWrap w:val="0"/>
        <w:overflowPunct/>
        <w:topLinePunct w:val="0"/>
        <w:autoSpaceDE/>
        <w:autoSpaceDN/>
        <w:bidi w:val="0"/>
        <w:snapToGrid/>
        <w:spacing w:line="360" w:lineRule="auto"/>
        <w:ind w:left="420" w:firstLine="0" w:firstLineChars="0"/>
        <w:rPr>
          <w:rFonts w:ascii="宋体" w:hAnsi="宋体" w:cs="Times New Roman"/>
          <w:b/>
          <w:szCs w:val="21"/>
        </w:rPr>
      </w:pPr>
      <w:r>
        <w:rPr>
          <w:rFonts w:hint="eastAsia" w:ascii="宋体" w:hAnsi="宋体" w:cs="Times New Roman"/>
          <w:b/>
          <w:color w:val="FF0000"/>
          <w:szCs w:val="21"/>
        </w:rPr>
        <w:t>1、</w:t>
      </w:r>
      <w:r>
        <w:rPr>
          <w:rFonts w:ascii="宋体" w:hAnsi="宋体" w:cs="Times New Roman"/>
          <w:b/>
          <w:color w:val="FF0000"/>
          <w:szCs w:val="21"/>
        </w:rPr>
        <w:t>上述浏览器配置完成的前提下，在系统登录或操作过程中，所有弹出的加载项，请点击 “允许”！！！</w:t>
      </w:r>
    </w:p>
    <w:p>
      <w:pPr>
        <w:pStyle w:val="4"/>
        <w:pageBreakBefore w:val="0"/>
        <w:kinsoku/>
        <w:wordWrap w:val="0"/>
        <w:overflowPunct/>
        <w:topLinePunct w:val="0"/>
        <w:autoSpaceDE/>
        <w:autoSpaceDN/>
        <w:bidi w:val="0"/>
        <w:snapToGrid/>
        <w:spacing w:line="360" w:lineRule="auto"/>
      </w:pPr>
      <w:bookmarkStart w:id="6" w:name="_Toc35931381"/>
      <w:r>
        <w:t>1.</w:t>
      </w:r>
      <w:r>
        <w:rPr>
          <w:rFonts w:hint="eastAsia"/>
        </w:rPr>
        <w:t>登录系统</w:t>
      </w:r>
      <w:bookmarkEnd w:id="6"/>
    </w:p>
    <w:p>
      <w:pPr>
        <w:pageBreakBefore w:val="0"/>
        <w:kinsoku/>
        <w:wordWrap w:val="0"/>
        <w:overflowPunct/>
        <w:topLinePunct w:val="0"/>
        <w:autoSpaceDE/>
        <w:autoSpaceDN/>
        <w:bidi w:val="0"/>
        <w:snapToGrid/>
        <w:spacing w:line="360" w:lineRule="auto"/>
      </w:pPr>
      <w:r>
        <w:rPr>
          <w:rFonts w:hint="eastAsia"/>
        </w:rPr>
        <w:t>登录网址：</w:t>
      </w:r>
    </w:p>
    <w:p>
      <w:pPr>
        <w:pageBreakBefore w:val="0"/>
        <w:kinsoku/>
        <w:wordWrap w:val="0"/>
        <w:overflowPunct/>
        <w:topLinePunct w:val="0"/>
        <w:autoSpaceDE/>
        <w:autoSpaceDN/>
        <w:bidi w:val="0"/>
        <w:snapToGrid/>
        <w:spacing w:line="360" w:lineRule="auto"/>
      </w:pPr>
      <w:r>
        <w:fldChar w:fldCharType="begin"/>
      </w:r>
      <w:r>
        <w:instrText xml:space="preserve"> HYPERLINK "http://222.222.66.156:8050/BidOpening/bidopeninghallaction/hall/login" </w:instrText>
      </w:r>
      <w:r>
        <w:fldChar w:fldCharType="separate"/>
      </w:r>
      <w:r>
        <w:rPr>
          <w:rFonts w:hint="eastAsia"/>
          <w:color w:val="0563C1" w:themeColor="hyperlink"/>
          <w:u w:val="single"/>
          <w:lang w:eastAsia="zh-CN"/>
          <w14:textFill>
            <w14:solidFill>
              <w14:schemeClr w14:val="hlink"/>
            </w14:solidFill>
          </w14:textFill>
        </w:rPr>
        <w:t>http://110.249.177.252:90/BidOpening/bidopeninghallaction/hall/login</w:t>
      </w:r>
      <w:r>
        <w:rPr>
          <w:color w:val="0563C1" w:themeColor="hyperlink"/>
          <w:u w:val="single"/>
          <w14:textFill>
            <w14:solidFill>
              <w14:schemeClr w14:val="hlink"/>
            </w14:solidFill>
          </w14:textFill>
        </w:rPr>
        <w:fldChar w:fldCharType="end"/>
      </w:r>
      <w:r>
        <w:t>，</w:t>
      </w:r>
      <w:r>
        <w:rPr>
          <w:rFonts w:hint="eastAsia"/>
        </w:rPr>
        <w:t>进入</w:t>
      </w:r>
      <w:r>
        <w:t>不见面开</w:t>
      </w:r>
      <w:r>
        <w:rPr>
          <w:rFonts w:hint="eastAsia"/>
        </w:rPr>
        <w:t>标系统（【图</w:t>
      </w:r>
      <w:r>
        <w:t>7</w:t>
      </w:r>
      <w:r>
        <w:rPr>
          <w:rFonts w:hint="eastAsia"/>
        </w:rPr>
        <w:t>】所示），点击右上角登录按钮；</w:t>
      </w:r>
    </w:p>
    <w:p>
      <w:pPr>
        <w:pageBreakBefore w:val="0"/>
        <w:kinsoku/>
        <w:wordWrap w:val="0"/>
        <w:overflowPunct/>
        <w:topLinePunct w:val="0"/>
        <w:autoSpaceDE/>
        <w:autoSpaceDN/>
        <w:bidi w:val="0"/>
        <w:snapToGrid/>
        <w:spacing w:line="360" w:lineRule="auto"/>
      </w:pPr>
      <w:r>
        <w:rPr>
          <w:rFonts w:hint="eastAsia"/>
        </w:rPr>
        <w:t>代理机构：选择招标代理，插入企业CA并输入ca密码登录系统（【图8】所示）。</w:t>
      </w:r>
    </w:p>
    <w:p>
      <w:pPr>
        <w:pageBreakBefore w:val="0"/>
        <w:kinsoku/>
        <w:wordWrap w:val="0"/>
        <w:overflowPunct/>
        <w:topLinePunct w:val="0"/>
        <w:autoSpaceDE/>
        <w:autoSpaceDN/>
        <w:bidi w:val="0"/>
        <w:snapToGrid/>
        <w:spacing w:line="360" w:lineRule="auto"/>
      </w:pPr>
      <w:r>
        <w:rPr>
          <w:rFonts w:hint="eastAsia"/>
        </w:rPr>
        <w:t>中心人员：选择交易中心，并输入登录密码登录系统（【图9】所示）。</w:t>
      </w:r>
    </w:p>
    <w:p>
      <w:pPr>
        <w:pageBreakBefore w:val="0"/>
        <w:kinsoku/>
        <w:wordWrap w:val="0"/>
        <w:overflowPunct/>
        <w:topLinePunct w:val="0"/>
        <w:autoSpaceDE/>
        <w:autoSpaceDN/>
        <w:bidi w:val="0"/>
        <w:snapToGrid/>
        <w:spacing w:line="360" w:lineRule="auto"/>
      </w:pPr>
      <w:r>
        <w:drawing>
          <wp:inline distT="0" distB="0" distL="114300" distR="114300">
            <wp:extent cx="5266690" cy="2367280"/>
            <wp:effectExtent l="0" t="0" r="6350"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5266690" cy="2367280"/>
                    </a:xfrm>
                    <a:prstGeom prst="rect">
                      <a:avLst/>
                    </a:prstGeom>
                    <a:noFill/>
                    <a:ln>
                      <a:noFill/>
                    </a:ln>
                  </pic:spPr>
                </pic:pic>
              </a:graphicData>
            </a:graphic>
          </wp:inline>
        </w:drawing>
      </w:r>
    </w:p>
    <w:p>
      <w:pPr>
        <w:pageBreakBefore w:val="0"/>
        <w:kinsoku/>
        <w:wordWrap w:val="0"/>
        <w:overflowPunct/>
        <w:topLinePunct w:val="0"/>
        <w:autoSpaceDE/>
        <w:autoSpaceDN/>
        <w:bidi w:val="0"/>
        <w:snapToGrid/>
        <w:spacing w:line="360" w:lineRule="auto"/>
        <w:jc w:val="center"/>
      </w:pPr>
      <w:r>
        <w:rPr>
          <w:rFonts w:hint="eastAsia"/>
        </w:rPr>
        <w:t>【图</w:t>
      </w:r>
      <w:r>
        <w:t>7</w:t>
      </w:r>
      <w:r>
        <w:rPr>
          <w:rFonts w:hint="eastAsia"/>
        </w:rPr>
        <w:t>】</w:t>
      </w:r>
    </w:p>
    <w:p>
      <w:pPr>
        <w:pageBreakBefore w:val="0"/>
        <w:kinsoku/>
        <w:wordWrap w:val="0"/>
        <w:overflowPunct/>
        <w:topLinePunct w:val="0"/>
        <w:autoSpaceDE/>
        <w:autoSpaceDN/>
        <w:bidi w:val="0"/>
        <w:snapToGrid/>
        <w:spacing w:line="360" w:lineRule="auto"/>
      </w:pPr>
      <w:r>
        <w:drawing>
          <wp:inline distT="0" distB="0" distL="114300" distR="114300">
            <wp:extent cx="5266690" cy="2369820"/>
            <wp:effectExtent l="0" t="0" r="6350" b="762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1"/>
                    <a:stretch>
                      <a:fillRect/>
                    </a:stretch>
                  </pic:blipFill>
                  <pic:spPr>
                    <a:xfrm>
                      <a:off x="0" y="0"/>
                      <a:ext cx="5266690" cy="2369820"/>
                    </a:xfrm>
                    <a:prstGeom prst="rect">
                      <a:avLst/>
                    </a:prstGeom>
                    <a:noFill/>
                    <a:ln>
                      <a:noFill/>
                    </a:ln>
                  </pic:spPr>
                </pic:pic>
              </a:graphicData>
            </a:graphic>
          </wp:inline>
        </w:drawing>
      </w:r>
    </w:p>
    <w:p>
      <w:pPr>
        <w:pageBreakBefore w:val="0"/>
        <w:kinsoku/>
        <w:wordWrap w:val="0"/>
        <w:overflowPunct/>
        <w:topLinePunct w:val="0"/>
        <w:autoSpaceDE/>
        <w:autoSpaceDN/>
        <w:bidi w:val="0"/>
        <w:snapToGrid/>
        <w:spacing w:line="360" w:lineRule="auto"/>
        <w:jc w:val="center"/>
      </w:pPr>
      <w:r>
        <w:rPr>
          <w:rFonts w:hint="eastAsia"/>
        </w:rPr>
        <w:t>【图8】</w:t>
      </w:r>
    </w:p>
    <w:p>
      <w:pPr>
        <w:pageBreakBefore w:val="0"/>
        <w:kinsoku/>
        <w:wordWrap w:val="0"/>
        <w:overflowPunct/>
        <w:topLinePunct w:val="0"/>
        <w:autoSpaceDE/>
        <w:autoSpaceDN/>
        <w:bidi w:val="0"/>
        <w:snapToGrid/>
        <w:spacing w:line="360" w:lineRule="auto"/>
        <w:jc w:val="center"/>
      </w:pPr>
      <w:r>
        <w:drawing>
          <wp:inline distT="0" distB="0" distL="114300" distR="114300">
            <wp:extent cx="5266690" cy="2342515"/>
            <wp:effectExtent l="0" t="0" r="6350" b="444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2"/>
                    <a:stretch>
                      <a:fillRect/>
                    </a:stretch>
                  </pic:blipFill>
                  <pic:spPr>
                    <a:xfrm>
                      <a:off x="0" y="0"/>
                      <a:ext cx="5266690" cy="2342515"/>
                    </a:xfrm>
                    <a:prstGeom prst="rect">
                      <a:avLst/>
                    </a:prstGeom>
                    <a:noFill/>
                    <a:ln>
                      <a:noFill/>
                    </a:ln>
                  </pic:spPr>
                </pic:pic>
              </a:graphicData>
            </a:graphic>
          </wp:inline>
        </w:drawing>
      </w:r>
    </w:p>
    <w:p>
      <w:pPr>
        <w:pageBreakBefore w:val="0"/>
        <w:kinsoku/>
        <w:wordWrap w:val="0"/>
        <w:overflowPunct/>
        <w:topLinePunct w:val="0"/>
        <w:autoSpaceDE/>
        <w:autoSpaceDN/>
        <w:bidi w:val="0"/>
        <w:snapToGrid/>
        <w:spacing w:line="360" w:lineRule="auto"/>
        <w:jc w:val="center"/>
      </w:pPr>
      <w:r>
        <w:rPr>
          <w:rFonts w:hint="eastAsia"/>
        </w:rPr>
        <w:t>【图9】</w:t>
      </w:r>
    </w:p>
    <w:p>
      <w:pPr>
        <w:pStyle w:val="4"/>
        <w:pageBreakBefore w:val="0"/>
        <w:kinsoku/>
        <w:wordWrap w:val="0"/>
        <w:overflowPunct/>
        <w:topLinePunct w:val="0"/>
        <w:autoSpaceDE/>
        <w:autoSpaceDN/>
        <w:bidi w:val="0"/>
        <w:snapToGrid/>
        <w:spacing w:line="360" w:lineRule="auto"/>
      </w:pPr>
      <w:bookmarkStart w:id="7" w:name="_Toc35931382"/>
      <w:r>
        <w:rPr>
          <w:rFonts w:hint="eastAsia"/>
        </w:rPr>
        <w:t>2</w:t>
      </w:r>
      <w:r>
        <w:t>.</w:t>
      </w:r>
      <w:r>
        <w:rPr>
          <w:rFonts w:hint="eastAsia"/>
        </w:rPr>
        <w:t>开标</w:t>
      </w:r>
      <w:bookmarkEnd w:id="7"/>
    </w:p>
    <w:p>
      <w:pPr>
        <w:pageBreakBefore w:val="0"/>
        <w:kinsoku/>
        <w:wordWrap w:val="0"/>
        <w:overflowPunct/>
        <w:topLinePunct w:val="0"/>
        <w:autoSpaceDE/>
        <w:autoSpaceDN/>
        <w:bidi w:val="0"/>
        <w:snapToGrid/>
        <w:spacing w:line="360" w:lineRule="auto"/>
      </w:pPr>
      <w:r>
        <w:rPr>
          <w:rFonts w:hint="eastAsia"/>
        </w:rPr>
        <w:t>开标主持人点击今日开标的项目（【图1</w:t>
      </w:r>
      <w:r>
        <w:t>0</w:t>
      </w:r>
      <w:r>
        <w:rPr>
          <w:rFonts w:hint="eastAsia"/>
        </w:rPr>
        <w:t>】所示），可查看今日开标的项目，在历史开标项目中，可查看历史项目。</w:t>
      </w:r>
    </w:p>
    <w:p>
      <w:pPr>
        <w:pageBreakBefore w:val="0"/>
        <w:kinsoku/>
        <w:wordWrap w:val="0"/>
        <w:overflowPunct/>
        <w:topLinePunct w:val="0"/>
        <w:autoSpaceDE/>
        <w:autoSpaceDN/>
        <w:bidi w:val="0"/>
        <w:snapToGrid/>
        <w:spacing w:line="360" w:lineRule="auto"/>
      </w:pPr>
      <w:r>
        <w:rPr>
          <w:rFonts w:hint="eastAsia"/>
        </w:rPr>
        <w:t>找到当前即将开标的项目进入开标准备界面（【图1</w:t>
      </w:r>
      <w:r>
        <w:t>1</w:t>
      </w:r>
      <w:r>
        <w:rPr>
          <w:rFonts w:hint="eastAsia"/>
        </w:rPr>
        <w:t>】所示），①为投标企业区，显示为当前已经报名的企业名称，图标为锁的标志即为未解密状态；②为视频区，显示为当前视频端；③为视频端口切换区，可选择开标室名称、主持人摄像头、主持人桌面；④为信息区，展示公告栏、交流栏、开标小组等信息；⑤为开标功能区，主持人可点击【终止开标】按钮将项目终止，点击【异议答复】可查看当前投标人的异议问题及回复结果。</w:t>
      </w:r>
    </w:p>
    <w:p>
      <w:pPr>
        <w:pageBreakBefore w:val="0"/>
        <w:kinsoku/>
        <w:wordWrap w:val="0"/>
        <w:overflowPunct/>
        <w:topLinePunct w:val="0"/>
        <w:autoSpaceDE/>
        <w:autoSpaceDN/>
        <w:bidi w:val="0"/>
        <w:snapToGrid/>
        <w:spacing w:line="360" w:lineRule="auto"/>
        <w:rPr>
          <w:b/>
          <w:bCs/>
        </w:rPr>
      </w:pPr>
      <w:r>
        <w:rPr>
          <w:rFonts w:hint="eastAsia"/>
          <w:b/>
          <w:bCs/>
        </w:rPr>
        <w:t>登录系统后点击请</w:t>
      </w:r>
      <w:r>
        <w:rPr>
          <w:rFonts w:hint="eastAsia"/>
          <w:b/>
          <w:bCs/>
          <w:lang w:val="en-US" w:eastAsia="zh-CN"/>
        </w:rPr>
        <w:t>开启群聊</w:t>
      </w:r>
      <w:r>
        <w:rPr>
          <w:rFonts w:hint="eastAsia"/>
          <w:b/>
          <w:bCs/>
        </w:rPr>
        <w:t>交流控制。</w:t>
      </w:r>
    </w:p>
    <w:p>
      <w:pPr>
        <w:pageBreakBefore w:val="0"/>
        <w:kinsoku/>
        <w:wordWrap w:val="0"/>
        <w:overflowPunct/>
        <w:topLinePunct w:val="0"/>
        <w:autoSpaceDE/>
        <w:autoSpaceDN/>
        <w:bidi w:val="0"/>
        <w:snapToGrid/>
        <w:spacing w:line="360" w:lineRule="auto"/>
      </w:pPr>
      <w:r>
        <w:drawing>
          <wp:inline distT="0" distB="0" distL="0" distR="0">
            <wp:extent cx="5274310" cy="2721610"/>
            <wp:effectExtent l="0" t="0" r="1397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rcRect t="6542"/>
                    <a:stretch>
                      <a:fillRect/>
                    </a:stretch>
                  </pic:blipFill>
                  <pic:spPr>
                    <a:xfrm>
                      <a:off x="0" y="0"/>
                      <a:ext cx="5274310" cy="2721610"/>
                    </a:xfrm>
                    <a:prstGeom prst="rect">
                      <a:avLst/>
                    </a:prstGeom>
                  </pic:spPr>
                </pic:pic>
              </a:graphicData>
            </a:graphic>
          </wp:inline>
        </w:drawing>
      </w:r>
    </w:p>
    <w:p>
      <w:pPr>
        <w:pageBreakBefore w:val="0"/>
        <w:kinsoku/>
        <w:wordWrap w:val="0"/>
        <w:overflowPunct/>
        <w:topLinePunct w:val="0"/>
        <w:autoSpaceDE/>
        <w:autoSpaceDN/>
        <w:bidi w:val="0"/>
        <w:snapToGrid/>
        <w:spacing w:line="360" w:lineRule="auto"/>
        <w:jc w:val="center"/>
      </w:pPr>
      <w:r>
        <w:rPr>
          <w:rFonts w:hint="eastAsia"/>
        </w:rPr>
        <w:t>【图1</w:t>
      </w:r>
      <w:r>
        <w:t>0</w:t>
      </w:r>
      <w:r>
        <w:rPr>
          <w:rFonts w:hint="eastAsia"/>
        </w:rPr>
        <w:t>】</w:t>
      </w:r>
    </w:p>
    <w:p>
      <w:pPr>
        <w:pageBreakBefore w:val="0"/>
        <w:kinsoku/>
        <w:wordWrap w:val="0"/>
        <w:overflowPunct/>
        <w:topLinePunct w:val="0"/>
        <w:autoSpaceDE/>
        <w:autoSpaceDN/>
        <w:bidi w:val="0"/>
        <w:snapToGrid/>
        <w:spacing w:line="360" w:lineRule="auto"/>
      </w:pPr>
      <w:r>
        <w:drawing>
          <wp:inline distT="0" distB="0" distL="0" distR="0">
            <wp:extent cx="5274310" cy="292417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4310" cy="2924175"/>
                    </a:xfrm>
                    <a:prstGeom prst="rect">
                      <a:avLst/>
                    </a:prstGeom>
                  </pic:spPr>
                </pic:pic>
              </a:graphicData>
            </a:graphic>
          </wp:inline>
        </w:drawing>
      </w:r>
    </w:p>
    <w:p>
      <w:pPr>
        <w:pageBreakBefore w:val="0"/>
        <w:kinsoku/>
        <w:wordWrap w:val="0"/>
        <w:overflowPunct/>
        <w:topLinePunct w:val="0"/>
        <w:autoSpaceDE/>
        <w:autoSpaceDN/>
        <w:bidi w:val="0"/>
        <w:snapToGrid/>
        <w:spacing w:line="360" w:lineRule="auto"/>
        <w:jc w:val="center"/>
      </w:pPr>
      <w:r>
        <w:rPr>
          <w:rFonts w:hint="eastAsia"/>
        </w:rPr>
        <w:t>【图1</w:t>
      </w:r>
      <w:r>
        <w:t>1</w:t>
      </w:r>
      <w:r>
        <w:rPr>
          <w:rFonts w:hint="eastAsia"/>
        </w:rPr>
        <w:t>】</w:t>
      </w:r>
    </w:p>
    <w:p>
      <w:pPr>
        <w:pageBreakBefore w:val="0"/>
        <w:kinsoku/>
        <w:wordWrap w:val="0"/>
        <w:overflowPunct/>
        <w:topLinePunct w:val="0"/>
        <w:autoSpaceDE/>
        <w:autoSpaceDN/>
        <w:bidi w:val="0"/>
        <w:snapToGrid/>
        <w:spacing w:line="360" w:lineRule="auto"/>
        <w:jc w:val="left"/>
      </w:pPr>
      <w:r>
        <w:rPr>
          <w:rFonts w:hint="eastAsia"/>
        </w:rPr>
        <w:t>点击下一阶段，可查看投标人对投标文件的解密情况（【图1</w:t>
      </w:r>
      <w:r>
        <w:t>2</w:t>
      </w:r>
      <w:r>
        <w:rPr>
          <w:rFonts w:hint="eastAsia"/>
        </w:rPr>
        <w:t>】所示）。</w:t>
      </w:r>
    </w:p>
    <w:p>
      <w:pPr>
        <w:pageBreakBefore w:val="0"/>
        <w:kinsoku/>
        <w:wordWrap w:val="0"/>
        <w:overflowPunct/>
        <w:topLinePunct w:val="0"/>
        <w:autoSpaceDE/>
        <w:autoSpaceDN/>
        <w:bidi w:val="0"/>
        <w:snapToGrid/>
        <w:spacing w:line="360" w:lineRule="auto"/>
        <w:jc w:val="left"/>
      </w:pPr>
      <w:r>
        <w:rPr>
          <w:rFonts w:hint="eastAsia"/>
        </w:rPr>
        <w:t>投标文件默认为白色，为未解密的状态；当文件夹变为绿色（图中②），且锁的图标为打开状态，及投标人已经正常解密投标文件。</w:t>
      </w:r>
    </w:p>
    <w:p>
      <w:pPr>
        <w:pageBreakBefore w:val="0"/>
        <w:kinsoku/>
        <w:wordWrap w:val="0"/>
        <w:overflowPunct/>
        <w:topLinePunct w:val="0"/>
        <w:autoSpaceDE/>
        <w:autoSpaceDN/>
        <w:bidi w:val="0"/>
        <w:snapToGrid/>
        <w:spacing w:line="360" w:lineRule="auto"/>
        <w:jc w:val="left"/>
      </w:pPr>
      <w:r>
        <w:drawing>
          <wp:inline distT="0" distB="0" distL="0" distR="0">
            <wp:extent cx="5274310" cy="28263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4310" cy="2826385"/>
                    </a:xfrm>
                    <a:prstGeom prst="rect">
                      <a:avLst/>
                    </a:prstGeom>
                  </pic:spPr>
                </pic:pic>
              </a:graphicData>
            </a:graphic>
          </wp:inline>
        </w:drawing>
      </w:r>
    </w:p>
    <w:p>
      <w:pPr>
        <w:pageBreakBefore w:val="0"/>
        <w:kinsoku/>
        <w:wordWrap w:val="0"/>
        <w:overflowPunct/>
        <w:topLinePunct w:val="0"/>
        <w:autoSpaceDE/>
        <w:autoSpaceDN/>
        <w:bidi w:val="0"/>
        <w:snapToGrid/>
        <w:spacing w:line="360" w:lineRule="auto"/>
        <w:jc w:val="center"/>
      </w:pPr>
      <w:r>
        <w:rPr>
          <w:rFonts w:hint="eastAsia"/>
        </w:rPr>
        <w:t>【图1</w:t>
      </w:r>
      <w:r>
        <w:t>2</w:t>
      </w:r>
      <w:r>
        <w:rPr>
          <w:rFonts w:hint="eastAsia"/>
        </w:rPr>
        <w:t>】</w:t>
      </w:r>
    </w:p>
    <w:p>
      <w:pPr>
        <w:pageBreakBefore w:val="0"/>
        <w:kinsoku/>
        <w:wordWrap w:val="0"/>
        <w:overflowPunct/>
        <w:topLinePunct w:val="0"/>
        <w:autoSpaceDE/>
        <w:autoSpaceDN/>
        <w:bidi w:val="0"/>
        <w:snapToGrid/>
        <w:spacing w:line="360" w:lineRule="auto"/>
        <w:jc w:val="left"/>
      </w:pPr>
      <w:r>
        <w:rPr>
          <w:rFonts w:hint="eastAsia"/>
        </w:rPr>
        <w:t>主持人在投标单位全部解密投标文件成功后，点击【批量导入】按钮，将投标文件进行批量的导入（【图1</w:t>
      </w:r>
      <w:r>
        <w:t>4</w:t>
      </w:r>
      <w:r>
        <w:rPr>
          <w:rFonts w:hint="eastAsia"/>
        </w:rPr>
        <w:t>】所示）。系统会自动拆解投标文件，当系统提示【批量导入成功】即表示投标文件全部导入成功，点击【确定按钮】（【图1</w:t>
      </w:r>
      <w:r>
        <w:t>5</w:t>
      </w:r>
      <w:r>
        <w:rPr>
          <w:rFonts w:hint="eastAsia"/>
        </w:rPr>
        <w:t>】所示），系统会自动将所有投标人的投标文件中投标报价进行展示（【图1</w:t>
      </w:r>
      <w:r>
        <w:t>6</w:t>
      </w:r>
      <w:r>
        <w:rPr>
          <w:rFonts w:hint="eastAsia"/>
        </w:rPr>
        <w:t>】所示），主持人可根据投标报价进行唱标环节。</w:t>
      </w:r>
    </w:p>
    <w:p>
      <w:pPr>
        <w:pageBreakBefore w:val="0"/>
        <w:kinsoku/>
        <w:wordWrap w:val="0"/>
        <w:overflowPunct/>
        <w:topLinePunct w:val="0"/>
        <w:autoSpaceDE/>
        <w:autoSpaceDN/>
        <w:bidi w:val="0"/>
        <w:snapToGrid/>
        <w:spacing w:line="360" w:lineRule="auto"/>
        <w:jc w:val="left"/>
      </w:pPr>
      <w:r>
        <w:drawing>
          <wp:inline distT="0" distB="0" distL="0" distR="0">
            <wp:extent cx="5274310" cy="288036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2880360"/>
                    </a:xfrm>
                    <a:prstGeom prst="rect">
                      <a:avLst/>
                    </a:prstGeom>
                  </pic:spPr>
                </pic:pic>
              </a:graphicData>
            </a:graphic>
          </wp:inline>
        </w:drawing>
      </w:r>
    </w:p>
    <w:p>
      <w:pPr>
        <w:pageBreakBefore w:val="0"/>
        <w:kinsoku/>
        <w:wordWrap w:val="0"/>
        <w:overflowPunct/>
        <w:topLinePunct w:val="0"/>
        <w:autoSpaceDE/>
        <w:autoSpaceDN/>
        <w:bidi w:val="0"/>
        <w:snapToGrid/>
        <w:spacing w:line="360" w:lineRule="auto"/>
        <w:jc w:val="center"/>
      </w:pPr>
      <w:r>
        <w:rPr>
          <w:rFonts w:hint="eastAsia"/>
        </w:rPr>
        <w:t>【图1</w:t>
      </w:r>
      <w:r>
        <w:t>4</w:t>
      </w:r>
      <w:r>
        <w:rPr>
          <w:rFonts w:hint="eastAsia"/>
        </w:rPr>
        <w:t>】</w:t>
      </w:r>
    </w:p>
    <w:p>
      <w:pPr>
        <w:pageBreakBefore w:val="0"/>
        <w:kinsoku/>
        <w:wordWrap w:val="0"/>
        <w:overflowPunct/>
        <w:topLinePunct w:val="0"/>
        <w:autoSpaceDE/>
        <w:autoSpaceDN/>
        <w:bidi w:val="0"/>
        <w:snapToGrid/>
        <w:spacing w:line="360" w:lineRule="auto"/>
        <w:jc w:val="left"/>
      </w:pPr>
      <w:r>
        <w:drawing>
          <wp:inline distT="0" distB="0" distL="0" distR="0">
            <wp:extent cx="5274310" cy="287337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2873375"/>
                    </a:xfrm>
                    <a:prstGeom prst="rect">
                      <a:avLst/>
                    </a:prstGeom>
                  </pic:spPr>
                </pic:pic>
              </a:graphicData>
            </a:graphic>
          </wp:inline>
        </w:drawing>
      </w:r>
    </w:p>
    <w:p>
      <w:pPr>
        <w:pageBreakBefore w:val="0"/>
        <w:kinsoku/>
        <w:wordWrap w:val="0"/>
        <w:overflowPunct/>
        <w:topLinePunct w:val="0"/>
        <w:autoSpaceDE/>
        <w:autoSpaceDN/>
        <w:bidi w:val="0"/>
        <w:snapToGrid/>
        <w:spacing w:line="360" w:lineRule="auto"/>
        <w:jc w:val="center"/>
      </w:pPr>
      <w:r>
        <w:rPr>
          <w:rFonts w:hint="eastAsia"/>
        </w:rPr>
        <w:t>【图1</w:t>
      </w:r>
      <w:r>
        <w:t>5</w:t>
      </w:r>
      <w:r>
        <w:rPr>
          <w:rFonts w:hint="eastAsia"/>
        </w:rPr>
        <w:t>】</w:t>
      </w:r>
    </w:p>
    <w:p>
      <w:pPr>
        <w:pageBreakBefore w:val="0"/>
        <w:kinsoku/>
        <w:wordWrap w:val="0"/>
        <w:overflowPunct/>
        <w:topLinePunct w:val="0"/>
        <w:autoSpaceDE/>
        <w:autoSpaceDN/>
        <w:bidi w:val="0"/>
        <w:snapToGrid/>
        <w:spacing w:line="360" w:lineRule="auto"/>
        <w:jc w:val="center"/>
      </w:pPr>
      <w:r>
        <w:drawing>
          <wp:inline distT="0" distB="0" distL="0" distR="0">
            <wp:extent cx="5274310" cy="299212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992120"/>
                    </a:xfrm>
                    <a:prstGeom prst="rect">
                      <a:avLst/>
                    </a:prstGeom>
                  </pic:spPr>
                </pic:pic>
              </a:graphicData>
            </a:graphic>
          </wp:inline>
        </w:drawing>
      </w:r>
    </w:p>
    <w:p>
      <w:pPr>
        <w:pageBreakBefore w:val="0"/>
        <w:kinsoku/>
        <w:wordWrap w:val="0"/>
        <w:overflowPunct/>
        <w:topLinePunct w:val="0"/>
        <w:autoSpaceDE/>
        <w:autoSpaceDN/>
        <w:bidi w:val="0"/>
        <w:snapToGrid/>
        <w:spacing w:line="360" w:lineRule="auto"/>
        <w:jc w:val="center"/>
      </w:pPr>
      <w:r>
        <w:rPr>
          <w:rFonts w:hint="eastAsia"/>
        </w:rPr>
        <w:t>【图1</w:t>
      </w:r>
      <w:r>
        <w:t>6</w:t>
      </w:r>
      <w:r>
        <w:rPr>
          <w:rFonts w:hint="eastAsia"/>
        </w:rPr>
        <w:t>】</w:t>
      </w:r>
    </w:p>
    <w:p>
      <w:pPr>
        <w:pageBreakBefore w:val="0"/>
        <w:kinsoku/>
        <w:wordWrap w:val="0"/>
        <w:overflowPunct/>
        <w:topLinePunct w:val="0"/>
        <w:autoSpaceDE/>
        <w:autoSpaceDN/>
        <w:bidi w:val="0"/>
        <w:snapToGrid/>
        <w:spacing w:line="360" w:lineRule="auto"/>
        <w:jc w:val="left"/>
      </w:pPr>
      <w:r>
        <w:rPr>
          <w:rFonts w:hint="eastAsia"/>
        </w:rPr>
        <w:t>唱标环节结束后，主持人点击【无异议确认按钮】（【图1</w:t>
      </w:r>
      <w:r>
        <w:t>7</w:t>
      </w:r>
      <w:r>
        <w:rPr>
          <w:rFonts w:hint="eastAsia"/>
        </w:rPr>
        <w:t>】所示），系统会给所有开标现场所有投标人发送无异议确认操作，若投标人有异议，可一一作出答复，无异议后点击【开标结束】按钮，可将次项目开标环节进行结束操作（【图1</w:t>
      </w:r>
      <w:r>
        <w:t>8</w:t>
      </w:r>
      <w:r>
        <w:rPr>
          <w:rFonts w:hint="eastAsia"/>
        </w:rPr>
        <w:t>】所示）。</w:t>
      </w:r>
    </w:p>
    <w:p>
      <w:pPr>
        <w:pageBreakBefore w:val="0"/>
        <w:kinsoku/>
        <w:wordWrap w:val="0"/>
        <w:overflowPunct/>
        <w:topLinePunct w:val="0"/>
        <w:autoSpaceDE/>
        <w:autoSpaceDN/>
        <w:bidi w:val="0"/>
        <w:snapToGrid/>
        <w:spacing w:line="360" w:lineRule="auto"/>
        <w:jc w:val="left"/>
        <w:rPr>
          <w:b/>
          <w:bCs/>
        </w:rPr>
      </w:pPr>
      <w:r>
        <w:rPr>
          <w:rFonts w:hint="eastAsia"/>
          <w:b/>
          <w:bCs/>
        </w:rPr>
        <w:t>磋商、谈判类型项目唱标环节中告知各投标单位“1.开标结束后，请勿关闭不见面开标大厅系统，届时需实施查看</w:t>
      </w:r>
      <w:r>
        <w:rPr>
          <w:rFonts w:hint="eastAsia"/>
          <w:b/>
          <w:bCs/>
          <w:lang w:val="en-US" w:eastAsia="zh-CN"/>
        </w:rPr>
        <w:t>互动交流</w:t>
      </w:r>
      <w:r>
        <w:rPr>
          <w:rFonts w:hint="eastAsia"/>
          <w:b/>
          <w:bCs/>
        </w:rPr>
        <w:t>，关注</w:t>
      </w:r>
      <w:r>
        <w:rPr>
          <w:rFonts w:hint="eastAsia"/>
          <w:b/>
          <w:bCs/>
          <w:lang w:val="en-US" w:eastAsia="zh-CN"/>
        </w:rPr>
        <w:t>开标主持人发布的指令</w:t>
      </w:r>
      <w:r>
        <w:rPr>
          <w:rFonts w:hint="eastAsia"/>
          <w:b/>
          <w:bCs/>
        </w:rPr>
        <w:t>。2.告知投标单位二次报价有时长限制，请各投标单位在规定的时间内填写二次报价并上传相关附件。3.请各投标单位</w:t>
      </w:r>
      <w:r>
        <w:rPr>
          <w:rFonts w:hint="eastAsia"/>
          <w:b/>
          <w:bCs/>
          <w:lang w:val="en-US" w:eastAsia="zh-CN"/>
        </w:rPr>
        <w:t>保持实时在线</w:t>
      </w:r>
      <w:r>
        <w:rPr>
          <w:rFonts w:hint="eastAsia"/>
          <w:b/>
          <w:bCs/>
        </w:rPr>
        <w:t>，已备投标人在未完成某项必须步骤的情况下联系该单位。4.发布投标人操作手册。</w:t>
      </w:r>
    </w:p>
    <w:p>
      <w:pPr>
        <w:pageBreakBefore w:val="0"/>
        <w:kinsoku/>
        <w:wordWrap w:val="0"/>
        <w:overflowPunct/>
        <w:topLinePunct w:val="0"/>
        <w:autoSpaceDE/>
        <w:autoSpaceDN/>
        <w:bidi w:val="0"/>
        <w:snapToGrid/>
        <w:spacing w:line="360" w:lineRule="auto"/>
        <w:jc w:val="left"/>
        <w:rPr>
          <w:rFonts w:hint="eastAsia" w:eastAsia="宋体"/>
          <w:b/>
          <w:bCs/>
          <w:lang w:eastAsia="zh-CN"/>
        </w:rPr>
      </w:pPr>
      <w:r>
        <w:rPr>
          <w:rFonts w:hint="eastAsia"/>
          <w:b/>
          <w:bCs/>
        </w:rPr>
        <w:t>在评标专家发出“获取二次报价”指令后，开标管理员通过不见面开标大厅</w:t>
      </w:r>
      <w:r>
        <w:rPr>
          <w:b/>
          <w:bCs/>
        </w:rPr>
        <w:t>—</w:t>
      </w:r>
      <w:r>
        <w:rPr>
          <w:rFonts w:hint="eastAsia"/>
          <w:b/>
          <w:bCs/>
        </w:rPr>
        <w:t>互动交流功能通知投标单位报价。“请各投标单位在</w:t>
      </w:r>
      <w:r>
        <w:rPr>
          <w:rFonts w:hint="eastAsia"/>
          <w:b/>
          <w:bCs/>
          <w:lang w:val="en-US" w:eastAsia="zh-CN"/>
        </w:rPr>
        <w:t>2020年X月X日xx时xx分至2021年X月X日XX时XX分</w:t>
      </w:r>
      <w:r>
        <w:rPr>
          <w:rFonts w:hint="eastAsia"/>
          <w:b/>
          <w:bCs/>
        </w:rPr>
        <w:t>内完成二次报价的填写，以及上传加盖公章的二次报价单附件</w:t>
      </w:r>
      <w:r>
        <w:rPr>
          <w:rFonts w:hint="eastAsia"/>
          <w:b/>
          <w:bCs/>
          <w:lang w:val="en-US" w:eastAsia="zh-CN"/>
        </w:rPr>
        <w:t>的操作，未在上述规定时间内报价的供应商视为放弃本次投标</w:t>
      </w:r>
      <w:r>
        <w:rPr>
          <w:rFonts w:hint="eastAsia"/>
          <w:b/>
          <w:bCs/>
        </w:rPr>
        <w:t>”</w:t>
      </w:r>
      <w:r>
        <w:rPr>
          <w:rFonts w:hint="eastAsia"/>
          <w:b/>
          <w:bCs/>
          <w:lang w:eastAsia="zh-CN"/>
        </w:rPr>
        <w:t>。</w:t>
      </w:r>
    </w:p>
    <w:p>
      <w:pPr>
        <w:pageBreakBefore w:val="0"/>
        <w:kinsoku/>
        <w:wordWrap w:val="0"/>
        <w:overflowPunct/>
        <w:topLinePunct w:val="0"/>
        <w:autoSpaceDE/>
        <w:autoSpaceDN/>
        <w:bidi w:val="0"/>
        <w:snapToGrid/>
        <w:spacing w:line="360" w:lineRule="auto"/>
        <w:jc w:val="left"/>
      </w:pPr>
      <w:r>
        <w:drawing>
          <wp:inline distT="0" distB="0" distL="0" distR="0">
            <wp:extent cx="5274310" cy="2814955"/>
            <wp:effectExtent l="0" t="0" r="254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2814955"/>
                    </a:xfrm>
                    <a:prstGeom prst="rect">
                      <a:avLst/>
                    </a:prstGeom>
                  </pic:spPr>
                </pic:pic>
              </a:graphicData>
            </a:graphic>
          </wp:inline>
        </w:drawing>
      </w:r>
    </w:p>
    <w:p>
      <w:pPr>
        <w:pageBreakBefore w:val="0"/>
        <w:kinsoku/>
        <w:wordWrap w:val="0"/>
        <w:overflowPunct/>
        <w:topLinePunct w:val="0"/>
        <w:autoSpaceDE/>
        <w:autoSpaceDN/>
        <w:bidi w:val="0"/>
        <w:snapToGrid/>
        <w:spacing w:line="360" w:lineRule="auto"/>
        <w:jc w:val="center"/>
      </w:pPr>
      <w:r>
        <w:rPr>
          <w:rFonts w:hint="eastAsia"/>
        </w:rPr>
        <w:t>【图1</w:t>
      </w:r>
      <w:r>
        <w:t>7</w:t>
      </w:r>
      <w:r>
        <w:rPr>
          <w:rFonts w:hint="eastAsia"/>
        </w:rPr>
        <w:t>】</w:t>
      </w:r>
    </w:p>
    <w:p>
      <w:pPr>
        <w:pageBreakBefore w:val="0"/>
        <w:kinsoku/>
        <w:wordWrap w:val="0"/>
        <w:overflowPunct/>
        <w:topLinePunct w:val="0"/>
        <w:autoSpaceDE/>
        <w:autoSpaceDN/>
        <w:bidi w:val="0"/>
        <w:snapToGrid/>
        <w:spacing w:line="360" w:lineRule="auto"/>
        <w:jc w:val="center"/>
      </w:pPr>
      <w:r>
        <w:drawing>
          <wp:inline distT="0" distB="0" distL="0" distR="0">
            <wp:extent cx="5274310" cy="285877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4310" cy="2858770"/>
                    </a:xfrm>
                    <a:prstGeom prst="rect">
                      <a:avLst/>
                    </a:prstGeom>
                  </pic:spPr>
                </pic:pic>
              </a:graphicData>
            </a:graphic>
          </wp:inline>
        </w:drawing>
      </w:r>
    </w:p>
    <w:p>
      <w:pPr>
        <w:pageBreakBefore w:val="0"/>
        <w:kinsoku/>
        <w:wordWrap w:val="0"/>
        <w:overflowPunct/>
        <w:topLinePunct w:val="0"/>
        <w:autoSpaceDE/>
        <w:autoSpaceDN/>
        <w:bidi w:val="0"/>
        <w:snapToGrid/>
        <w:spacing w:line="360" w:lineRule="auto"/>
        <w:jc w:val="center"/>
      </w:pPr>
      <w:r>
        <w:rPr>
          <w:rFonts w:hint="eastAsia"/>
        </w:rPr>
        <w:t>【图1</w:t>
      </w:r>
      <w:r>
        <w:t>8</w:t>
      </w:r>
      <w:r>
        <w:rPr>
          <w:rFonts w:hint="eastAsia"/>
        </w:rPr>
        <w:t>-</w:t>
      </w:r>
      <w:r>
        <w:t>1</w:t>
      </w:r>
      <w:r>
        <w:rPr>
          <w:rFonts w:hint="eastAsia"/>
        </w:rPr>
        <w:t>】</w:t>
      </w:r>
    </w:p>
    <w:p>
      <w:pPr>
        <w:pageBreakBefore w:val="0"/>
        <w:kinsoku/>
        <w:wordWrap w:val="0"/>
        <w:overflowPunct/>
        <w:topLinePunct w:val="0"/>
        <w:autoSpaceDE/>
        <w:autoSpaceDN/>
        <w:bidi w:val="0"/>
        <w:snapToGrid/>
        <w:spacing w:line="360" w:lineRule="auto"/>
        <w:jc w:val="center"/>
      </w:pPr>
      <w:r>
        <w:drawing>
          <wp:inline distT="0" distB="0" distL="0" distR="0">
            <wp:extent cx="5274310" cy="266700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74310" cy="2667000"/>
                    </a:xfrm>
                    <a:prstGeom prst="rect">
                      <a:avLst/>
                    </a:prstGeom>
                  </pic:spPr>
                </pic:pic>
              </a:graphicData>
            </a:graphic>
          </wp:inline>
        </w:drawing>
      </w:r>
    </w:p>
    <w:p>
      <w:pPr>
        <w:pageBreakBefore w:val="0"/>
        <w:kinsoku/>
        <w:wordWrap w:val="0"/>
        <w:overflowPunct/>
        <w:topLinePunct w:val="0"/>
        <w:autoSpaceDE/>
        <w:autoSpaceDN/>
        <w:bidi w:val="0"/>
        <w:snapToGrid/>
        <w:spacing w:line="360" w:lineRule="auto"/>
        <w:jc w:val="center"/>
      </w:pPr>
      <w:r>
        <w:rPr>
          <w:rFonts w:hint="eastAsia"/>
        </w:rPr>
        <w:t>【图1</w:t>
      </w:r>
      <w:r>
        <w:t>8</w:t>
      </w:r>
      <w:r>
        <w:rPr>
          <w:rFonts w:hint="eastAsia"/>
        </w:rPr>
        <w:t>-</w:t>
      </w:r>
      <w:r>
        <w:t>2</w:t>
      </w:r>
      <w:r>
        <w:rPr>
          <w:rFonts w:hint="eastAsia"/>
        </w:rPr>
        <w:t>】</w:t>
      </w:r>
    </w:p>
    <w:p>
      <w:pPr>
        <w:pStyle w:val="4"/>
        <w:pageBreakBefore w:val="0"/>
        <w:kinsoku/>
        <w:wordWrap w:val="0"/>
        <w:overflowPunct/>
        <w:topLinePunct w:val="0"/>
        <w:autoSpaceDE/>
        <w:autoSpaceDN/>
        <w:bidi w:val="0"/>
        <w:snapToGrid/>
        <w:spacing w:line="360" w:lineRule="auto"/>
      </w:pPr>
      <w:r>
        <w:t>3.</w:t>
      </w:r>
      <w:bookmarkStart w:id="8" w:name="_Toc35931383"/>
      <w:r>
        <w:rPr>
          <w:rFonts w:hint="eastAsia"/>
        </w:rPr>
        <w:t>二次报价</w:t>
      </w:r>
      <w:bookmarkEnd w:id="8"/>
    </w:p>
    <w:p>
      <w:pPr>
        <w:pageBreakBefore w:val="0"/>
        <w:kinsoku/>
        <w:wordWrap w:val="0"/>
        <w:overflowPunct/>
        <w:topLinePunct w:val="0"/>
        <w:autoSpaceDE/>
        <w:autoSpaceDN/>
        <w:bidi w:val="0"/>
        <w:snapToGrid/>
        <w:spacing w:line="360" w:lineRule="auto"/>
        <w:rPr>
          <w:rFonts w:hint="eastAsia"/>
        </w:rPr>
      </w:pPr>
      <w:r>
        <w:rPr>
          <w:rFonts w:hint="eastAsia"/>
        </w:rPr>
        <w:t>接到评标组委会二次报价的通知时，在不见面开标大厅</w:t>
      </w:r>
      <w:r>
        <w:rPr>
          <w:rFonts w:hint="eastAsia"/>
          <w:lang w:val="en-US" w:eastAsia="zh-CN"/>
        </w:rPr>
        <w:t>互动交流模块</w:t>
      </w:r>
      <w:r>
        <w:rPr>
          <w:rFonts w:hint="eastAsia"/>
        </w:rPr>
        <w:t>对各个投标人进行</w:t>
      </w:r>
      <w:r>
        <w:rPr>
          <w:rFonts w:hint="eastAsia"/>
          <w:lang w:val="en-US" w:eastAsia="zh-CN"/>
        </w:rPr>
        <w:t>文字</w:t>
      </w:r>
      <w:r>
        <w:rPr>
          <w:rFonts w:hint="eastAsia"/>
        </w:rPr>
        <w:t>通知。</w:t>
      </w:r>
    </w:p>
    <w:p>
      <w:pPr>
        <w:pageBreakBefore w:val="0"/>
        <w:kinsoku/>
        <w:wordWrap w:val="0"/>
        <w:overflowPunct/>
        <w:topLinePunct w:val="0"/>
        <w:autoSpaceDE/>
        <w:autoSpaceDN/>
        <w:bidi w:val="0"/>
        <w:snapToGrid/>
        <w:spacing w:line="360" w:lineRule="auto"/>
        <w:jc w:val="left"/>
        <w:rPr>
          <w:b/>
          <w:bCs/>
        </w:rPr>
      </w:pPr>
      <w:r>
        <w:rPr>
          <w:rFonts w:hint="eastAsia"/>
          <w:lang w:val="en-US" w:eastAsia="zh-CN"/>
        </w:rPr>
        <w:t>例句：</w:t>
      </w:r>
      <w:r>
        <w:rPr>
          <w:rFonts w:hint="eastAsia"/>
          <w:b/>
          <w:bCs/>
        </w:rPr>
        <w:t>“请各投标单位在</w:t>
      </w:r>
      <w:r>
        <w:rPr>
          <w:rFonts w:hint="eastAsia"/>
          <w:b/>
          <w:bCs/>
          <w:lang w:val="en-US" w:eastAsia="zh-CN"/>
        </w:rPr>
        <w:t>2020年X月X日xx时xx分至2021年X月X日XX时XX分</w:t>
      </w:r>
      <w:r>
        <w:rPr>
          <w:rFonts w:hint="eastAsia"/>
          <w:b/>
          <w:bCs/>
        </w:rPr>
        <w:t>内完成二次报价的填写，以及上传加盖公章的二次报价单附件</w:t>
      </w:r>
      <w:r>
        <w:rPr>
          <w:rFonts w:hint="eastAsia"/>
          <w:b/>
          <w:bCs/>
          <w:lang w:val="en-US" w:eastAsia="zh-CN"/>
        </w:rPr>
        <w:t>的操作，未在上述规定时间内报价的供应商视为放弃本次</w:t>
      </w:r>
      <w:bookmarkStart w:id="10" w:name="_GoBack"/>
      <w:bookmarkEnd w:id="10"/>
      <w:r>
        <w:rPr>
          <w:rFonts w:hint="eastAsia"/>
          <w:b/>
          <w:bCs/>
          <w:lang w:val="en-US" w:eastAsia="zh-CN"/>
        </w:rPr>
        <w:t>投标</w:t>
      </w:r>
      <w:r>
        <w:rPr>
          <w:rFonts w:hint="eastAsia"/>
          <w:b/>
          <w:bCs/>
        </w:rPr>
        <w:t>”</w:t>
      </w:r>
      <w:r>
        <w:rPr>
          <w:rFonts w:hint="eastAsia"/>
          <w:b/>
          <w:bCs/>
          <w:lang w:eastAsia="zh-CN"/>
        </w:rPr>
        <w:t>。</w:t>
      </w:r>
    </w:p>
    <w:p>
      <w:pPr>
        <w:pageBreakBefore w:val="0"/>
        <w:kinsoku/>
        <w:wordWrap w:val="0"/>
        <w:overflowPunct/>
        <w:topLinePunct w:val="0"/>
        <w:autoSpaceDE/>
        <w:autoSpaceDN/>
        <w:bidi w:val="0"/>
        <w:snapToGrid/>
        <w:spacing w:line="360" w:lineRule="auto"/>
        <w:rPr>
          <w:rFonts w:hint="default"/>
          <w:lang w:val="en-US" w:eastAsia="zh-CN"/>
        </w:rPr>
      </w:pPr>
      <w:r>
        <w:rPr>
          <w:rFonts w:hint="eastAsia"/>
          <w:lang w:val="en-US" w:eastAsia="zh-CN"/>
        </w:rPr>
        <w:t>注意：待资格、符合性、商务/技术分评审完成后，进入磋商/谈判结果阶段的“磋商/谈判记录表”模块后，二次报价时间由评委组长发出。如下图数字顺序所示：</w:t>
      </w:r>
    </w:p>
    <w:p>
      <w:pPr>
        <w:pageBreakBefore w:val="0"/>
        <w:kinsoku/>
        <w:wordWrap w:val="0"/>
        <w:overflowPunct/>
        <w:topLinePunct w:val="0"/>
        <w:autoSpaceDE/>
        <w:autoSpaceDN/>
        <w:bidi w:val="0"/>
        <w:snapToGrid/>
        <w:spacing w:line="360" w:lineRule="auto"/>
      </w:pPr>
      <w:r>
        <w:drawing>
          <wp:inline distT="0" distB="0" distL="114300" distR="114300">
            <wp:extent cx="5265420" cy="2309495"/>
            <wp:effectExtent l="0" t="0" r="762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65420" cy="2309495"/>
                    </a:xfrm>
                    <a:prstGeom prst="rect">
                      <a:avLst/>
                    </a:prstGeom>
                    <a:noFill/>
                    <a:ln>
                      <a:noFill/>
                    </a:ln>
                  </pic:spPr>
                </pic:pic>
              </a:graphicData>
            </a:graphic>
          </wp:inline>
        </w:drawing>
      </w:r>
    </w:p>
    <w:p>
      <w:pPr>
        <w:pageBreakBefore w:val="0"/>
        <w:kinsoku/>
        <w:wordWrap w:val="0"/>
        <w:overflowPunct/>
        <w:topLinePunct w:val="0"/>
        <w:autoSpaceDE/>
        <w:autoSpaceDN/>
        <w:bidi w:val="0"/>
        <w:snapToGrid/>
        <w:spacing w:line="360" w:lineRule="auto"/>
      </w:pPr>
      <w:r>
        <w:rPr>
          <w:rFonts w:hint="eastAsia"/>
          <w:lang w:val="en-US" w:eastAsia="zh-CN"/>
        </w:rPr>
        <w:t>（组长发出后代理机构在开标大厅群聊处提醒投标单位在规定时间内完成报价）</w:t>
      </w: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rPr>
          <w:color w:val="FF0000"/>
        </w:rPr>
      </w:pPr>
      <w:r>
        <w:rPr>
          <w:rFonts w:hint="eastAsia"/>
          <w:color w:val="FF0000"/>
        </w:rPr>
        <w:t>【温馨提示：1</w:t>
      </w:r>
      <w:r>
        <w:rPr>
          <w:color w:val="FF0000"/>
        </w:rPr>
        <w:t>.</w:t>
      </w:r>
      <w:r>
        <w:rPr>
          <w:rFonts w:hint="eastAsia"/>
          <w:color w:val="FF0000"/>
        </w:rPr>
        <w:t>不见面开标系统不支持非加密上传；2</w:t>
      </w:r>
      <w:r>
        <w:rPr>
          <w:color w:val="FF0000"/>
        </w:rPr>
        <w:t>.</w:t>
      </w:r>
      <w:r>
        <w:rPr>
          <w:rFonts w:hint="eastAsia"/>
          <w:color w:val="FF0000"/>
        </w:rPr>
        <w:t>多标段项目，单个解密，在浏览器新建页面的方式进行多个标段解密（如下图1</w:t>
      </w:r>
      <w:r>
        <w:rPr>
          <w:color w:val="FF0000"/>
        </w:rPr>
        <w:t>8</w:t>
      </w:r>
      <w:r>
        <w:rPr>
          <w:rFonts w:hint="eastAsia"/>
          <w:color w:val="FF0000"/>
        </w:rPr>
        <w:t>-</w:t>
      </w:r>
      <w:r>
        <w:rPr>
          <w:color w:val="FF0000"/>
        </w:rPr>
        <w:t>3</w:t>
      </w:r>
      <w:r>
        <w:rPr>
          <w:rFonts w:hint="eastAsia"/>
          <w:color w:val="FF0000"/>
        </w:rPr>
        <w:t>）；3</w:t>
      </w:r>
      <w:r>
        <w:rPr>
          <w:color w:val="FF0000"/>
        </w:rPr>
        <w:t>.</w:t>
      </w:r>
      <w:r>
        <w:rPr>
          <w:rFonts w:hint="eastAsia"/>
          <w:color w:val="FF0000"/>
        </w:rPr>
        <w:t>注意删除文件中的“二期”等关键字。】</w:t>
      </w:r>
    </w:p>
    <w:p>
      <w:pPr>
        <w:pageBreakBefore w:val="0"/>
        <w:kinsoku/>
        <w:wordWrap w:val="0"/>
        <w:overflowPunct/>
        <w:topLinePunct w:val="0"/>
        <w:autoSpaceDE/>
        <w:autoSpaceDN/>
        <w:bidi w:val="0"/>
        <w:snapToGrid/>
        <w:spacing w:line="360" w:lineRule="auto"/>
      </w:pPr>
      <w:r>
        <w:drawing>
          <wp:inline distT="0" distB="0" distL="0" distR="0">
            <wp:extent cx="5274310" cy="306260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5274310" cy="3062605"/>
                    </a:xfrm>
                    <a:prstGeom prst="rect">
                      <a:avLst/>
                    </a:prstGeom>
                  </pic:spPr>
                </pic:pic>
              </a:graphicData>
            </a:graphic>
          </wp:inline>
        </w:drawing>
      </w:r>
    </w:p>
    <w:p>
      <w:pPr>
        <w:pageBreakBefore w:val="0"/>
        <w:kinsoku/>
        <w:wordWrap w:val="0"/>
        <w:overflowPunct/>
        <w:topLinePunct w:val="0"/>
        <w:autoSpaceDE/>
        <w:autoSpaceDN/>
        <w:bidi w:val="0"/>
        <w:snapToGrid/>
        <w:spacing w:line="360" w:lineRule="auto"/>
        <w:jc w:val="center"/>
      </w:pPr>
      <w:r>
        <w:rPr>
          <w:rFonts w:hint="eastAsia"/>
        </w:rPr>
        <w:t>（图1</w:t>
      </w:r>
      <w:r>
        <w:t>8</w:t>
      </w:r>
      <w:r>
        <w:rPr>
          <w:rFonts w:hint="eastAsia"/>
        </w:rPr>
        <w:t>-</w:t>
      </w:r>
      <w:r>
        <w:t>3</w:t>
      </w:r>
      <w:r>
        <w:rPr>
          <w:rFonts w:hint="eastAsia"/>
        </w:rPr>
        <w:t>）</w:t>
      </w:r>
    </w:p>
    <w:p>
      <w:pPr>
        <w:pStyle w:val="23"/>
        <w:pageBreakBefore w:val="0"/>
        <w:numPr>
          <w:ilvl w:val="0"/>
          <w:numId w:val="2"/>
        </w:numPr>
        <w:kinsoku/>
        <w:wordWrap w:val="0"/>
        <w:overflowPunct/>
        <w:topLinePunct w:val="0"/>
        <w:autoSpaceDE/>
        <w:autoSpaceDN/>
        <w:bidi w:val="0"/>
        <w:snapToGrid/>
        <w:spacing w:line="360" w:lineRule="auto"/>
        <w:ind w:firstLineChars="0"/>
      </w:pPr>
      <w:bookmarkStart w:id="9" w:name="_Hlk38435153"/>
      <w:r>
        <w:rPr>
          <w:rFonts w:hint="eastAsia"/>
        </w:rPr>
        <w:t>磋商、谈判专家老师与投标单位交流</w:t>
      </w:r>
      <w:bookmarkEnd w:id="9"/>
    </w:p>
    <w:p>
      <w:pPr>
        <w:pStyle w:val="23"/>
        <w:pageBreakBefore w:val="0"/>
        <w:numPr>
          <w:ilvl w:val="1"/>
          <w:numId w:val="1"/>
        </w:numPr>
        <w:kinsoku/>
        <w:wordWrap w:val="0"/>
        <w:overflowPunct/>
        <w:topLinePunct w:val="0"/>
        <w:autoSpaceDE/>
        <w:autoSpaceDN/>
        <w:bidi w:val="0"/>
        <w:snapToGrid/>
        <w:spacing w:line="360" w:lineRule="auto"/>
        <w:ind w:firstLineChars="0"/>
      </w:pPr>
      <w:r>
        <w:rPr>
          <w:rFonts w:hint="eastAsia"/>
        </w:rPr>
        <w:t>评委老师点击澄清按钮新增澄清事项</w:t>
      </w:r>
    </w:p>
    <w:p>
      <w:pPr>
        <w:pStyle w:val="23"/>
        <w:pageBreakBefore w:val="0"/>
        <w:kinsoku/>
        <w:wordWrap w:val="0"/>
        <w:overflowPunct/>
        <w:topLinePunct w:val="0"/>
        <w:autoSpaceDE/>
        <w:autoSpaceDN/>
        <w:bidi w:val="0"/>
        <w:snapToGrid/>
        <w:spacing w:line="360" w:lineRule="auto"/>
        <w:ind w:left="780" w:firstLine="0" w:firstLineChars="0"/>
      </w:pPr>
      <w:r>
        <w:drawing>
          <wp:inline distT="0" distB="0" distL="0" distR="0">
            <wp:extent cx="5274310" cy="229552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tretch>
                      <a:fillRect/>
                    </a:stretch>
                  </pic:blipFill>
                  <pic:spPr>
                    <a:xfrm>
                      <a:off x="0" y="0"/>
                      <a:ext cx="5274310" cy="2295525"/>
                    </a:xfrm>
                    <a:prstGeom prst="rect">
                      <a:avLst/>
                    </a:prstGeom>
                  </pic:spPr>
                </pic:pic>
              </a:graphicData>
            </a:graphic>
          </wp:inline>
        </w:drawing>
      </w:r>
    </w:p>
    <w:p>
      <w:pPr>
        <w:pStyle w:val="23"/>
        <w:pageBreakBefore w:val="0"/>
        <w:kinsoku/>
        <w:wordWrap w:val="0"/>
        <w:overflowPunct/>
        <w:topLinePunct w:val="0"/>
        <w:autoSpaceDE/>
        <w:autoSpaceDN/>
        <w:bidi w:val="0"/>
        <w:snapToGrid/>
        <w:spacing w:line="360" w:lineRule="auto"/>
        <w:ind w:left="780" w:firstLine="0" w:firstLineChars="0"/>
      </w:pPr>
    </w:p>
    <w:p>
      <w:pPr>
        <w:pStyle w:val="23"/>
        <w:pageBreakBefore w:val="0"/>
        <w:kinsoku/>
        <w:wordWrap w:val="0"/>
        <w:overflowPunct/>
        <w:topLinePunct w:val="0"/>
        <w:autoSpaceDE/>
        <w:autoSpaceDN/>
        <w:bidi w:val="0"/>
        <w:snapToGrid/>
        <w:spacing w:line="360" w:lineRule="auto"/>
        <w:ind w:left="780" w:firstLine="0" w:firstLineChars="0"/>
      </w:pPr>
      <w:r>
        <w:rPr>
          <w:rFonts w:hint="eastAsia"/>
        </w:rPr>
        <w:t>点击新增澄清按钮</w:t>
      </w:r>
    </w:p>
    <w:p>
      <w:pPr>
        <w:pStyle w:val="23"/>
        <w:pageBreakBefore w:val="0"/>
        <w:kinsoku/>
        <w:wordWrap w:val="0"/>
        <w:overflowPunct/>
        <w:topLinePunct w:val="0"/>
        <w:autoSpaceDE/>
        <w:autoSpaceDN/>
        <w:bidi w:val="0"/>
        <w:snapToGrid/>
        <w:spacing w:line="360" w:lineRule="auto"/>
        <w:ind w:left="780" w:firstLine="0" w:firstLineChars="0"/>
      </w:pPr>
      <w:r>
        <w:drawing>
          <wp:inline distT="0" distB="0" distL="0" distR="0">
            <wp:extent cx="5274310" cy="2454275"/>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5274310" cy="2454275"/>
                    </a:xfrm>
                    <a:prstGeom prst="rect">
                      <a:avLst/>
                    </a:prstGeom>
                  </pic:spPr>
                </pic:pic>
              </a:graphicData>
            </a:graphic>
          </wp:inline>
        </w:drawing>
      </w:r>
    </w:p>
    <w:p>
      <w:pPr>
        <w:pStyle w:val="23"/>
        <w:pageBreakBefore w:val="0"/>
        <w:kinsoku/>
        <w:wordWrap w:val="0"/>
        <w:overflowPunct/>
        <w:topLinePunct w:val="0"/>
        <w:autoSpaceDE/>
        <w:autoSpaceDN/>
        <w:bidi w:val="0"/>
        <w:snapToGrid/>
        <w:spacing w:line="360" w:lineRule="auto"/>
        <w:ind w:left="780" w:firstLine="0" w:firstLineChars="0"/>
      </w:pPr>
      <w:r>
        <w:rPr>
          <w:rFonts w:hint="eastAsia"/>
        </w:rPr>
        <w:t>编写澄清内容及回复要求，并选择澄清单位与回答期限。</w:t>
      </w:r>
    </w:p>
    <w:p>
      <w:pPr>
        <w:pStyle w:val="23"/>
        <w:pageBreakBefore w:val="0"/>
        <w:kinsoku/>
        <w:wordWrap w:val="0"/>
        <w:overflowPunct/>
        <w:topLinePunct w:val="0"/>
        <w:autoSpaceDE/>
        <w:autoSpaceDN/>
        <w:bidi w:val="0"/>
        <w:snapToGrid/>
        <w:spacing w:line="360" w:lineRule="auto"/>
        <w:ind w:left="780" w:firstLine="0" w:firstLineChars="0"/>
      </w:pPr>
      <w:r>
        <w:drawing>
          <wp:inline distT="0" distB="0" distL="0" distR="0">
            <wp:extent cx="5274310" cy="278447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5274310" cy="2784475"/>
                    </a:xfrm>
                    <a:prstGeom prst="rect">
                      <a:avLst/>
                    </a:prstGeom>
                  </pic:spPr>
                </pic:pic>
              </a:graphicData>
            </a:graphic>
          </wp:inline>
        </w:drawing>
      </w:r>
    </w:p>
    <w:p>
      <w:pPr>
        <w:pStyle w:val="23"/>
        <w:pageBreakBefore w:val="0"/>
        <w:numPr>
          <w:ilvl w:val="1"/>
          <w:numId w:val="1"/>
        </w:numPr>
        <w:kinsoku/>
        <w:wordWrap w:val="0"/>
        <w:overflowPunct/>
        <w:topLinePunct w:val="0"/>
        <w:autoSpaceDE/>
        <w:autoSpaceDN/>
        <w:bidi w:val="0"/>
        <w:snapToGrid/>
        <w:spacing w:line="360" w:lineRule="auto"/>
        <w:ind w:firstLineChars="0"/>
      </w:pPr>
      <w:r>
        <w:rPr>
          <w:rFonts w:hint="eastAsia"/>
        </w:rPr>
        <w:t>评标管理员审核发出澄清</w:t>
      </w:r>
    </w:p>
    <w:p>
      <w:pPr>
        <w:pStyle w:val="23"/>
        <w:pageBreakBefore w:val="0"/>
        <w:kinsoku/>
        <w:wordWrap w:val="0"/>
        <w:overflowPunct/>
        <w:topLinePunct w:val="0"/>
        <w:autoSpaceDE/>
        <w:autoSpaceDN/>
        <w:bidi w:val="0"/>
        <w:snapToGrid/>
        <w:spacing w:line="360" w:lineRule="auto"/>
        <w:ind w:left="780" w:firstLine="0" w:firstLineChars="0"/>
      </w:pPr>
      <w:r>
        <w:rPr>
          <w:rFonts w:hint="eastAsia"/>
        </w:rPr>
        <w:t>点击箭头方向澄清按钮</w:t>
      </w:r>
    </w:p>
    <w:p>
      <w:pPr>
        <w:pStyle w:val="23"/>
        <w:pageBreakBefore w:val="0"/>
        <w:kinsoku/>
        <w:wordWrap w:val="0"/>
        <w:overflowPunct/>
        <w:topLinePunct w:val="0"/>
        <w:autoSpaceDE/>
        <w:autoSpaceDN/>
        <w:bidi w:val="0"/>
        <w:snapToGrid/>
        <w:spacing w:line="360" w:lineRule="auto"/>
        <w:ind w:left="780" w:firstLine="0" w:firstLineChars="0"/>
      </w:pPr>
      <w:r>
        <w:drawing>
          <wp:inline distT="0" distB="0" distL="0" distR="0">
            <wp:extent cx="5274310" cy="236220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5274310" cy="2362200"/>
                    </a:xfrm>
                    <a:prstGeom prst="rect">
                      <a:avLst/>
                    </a:prstGeom>
                  </pic:spPr>
                </pic:pic>
              </a:graphicData>
            </a:graphic>
          </wp:inline>
        </w:drawing>
      </w:r>
    </w:p>
    <w:p>
      <w:pPr>
        <w:pStyle w:val="23"/>
        <w:pageBreakBefore w:val="0"/>
        <w:kinsoku/>
        <w:wordWrap w:val="0"/>
        <w:overflowPunct/>
        <w:topLinePunct w:val="0"/>
        <w:autoSpaceDE/>
        <w:autoSpaceDN/>
        <w:bidi w:val="0"/>
        <w:snapToGrid/>
        <w:spacing w:line="360" w:lineRule="auto"/>
        <w:ind w:left="780" w:firstLine="0" w:firstLineChars="0"/>
      </w:pPr>
      <w:r>
        <w:rPr>
          <w:rFonts w:hint="eastAsia"/>
        </w:rPr>
        <w:t>点击红框位置的“通过”或“拒绝”按钮；点击通过后，投标单位即可在开标大厅收到需回复的通知。</w:t>
      </w:r>
    </w:p>
    <w:p>
      <w:pPr>
        <w:pStyle w:val="23"/>
        <w:pageBreakBefore w:val="0"/>
        <w:kinsoku/>
        <w:wordWrap w:val="0"/>
        <w:overflowPunct/>
        <w:topLinePunct w:val="0"/>
        <w:autoSpaceDE/>
        <w:autoSpaceDN/>
        <w:bidi w:val="0"/>
        <w:snapToGrid/>
        <w:spacing w:line="360" w:lineRule="auto"/>
        <w:ind w:left="780" w:firstLine="0" w:firstLineChars="0"/>
      </w:pPr>
      <w:r>
        <w:drawing>
          <wp:inline distT="0" distB="0" distL="0" distR="0">
            <wp:extent cx="5274310" cy="209994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5274310" cy="2099945"/>
                    </a:xfrm>
                    <a:prstGeom prst="rect">
                      <a:avLst/>
                    </a:prstGeom>
                  </pic:spPr>
                </pic:pic>
              </a:graphicData>
            </a:graphic>
          </wp:inline>
        </w:drawing>
      </w: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rPr>
          <w:rFonts w:hint="eastAsia" w:eastAsia="宋体"/>
          <w:lang w:val="en-US" w:eastAsia="zh-CN"/>
        </w:rPr>
      </w:pPr>
      <w:r>
        <w:rPr>
          <w:rFonts w:hint="eastAsia"/>
          <w:lang w:val="en-US" w:eastAsia="zh-CN"/>
        </w:rPr>
        <w:t>例句：“XX投标单位请注意，评标委员会已向你发出需澄清事宜，请在30分钟内回复，收到请打1。”</w:t>
      </w: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p>
    <w:p>
      <w:pPr>
        <w:pageBreakBefore w:val="0"/>
        <w:kinsoku/>
        <w:wordWrap w:val="0"/>
        <w:overflowPunct/>
        <w:topLinePunct w:val="0"/>
        <w:autoSpaceDE/>
        <w:autoSpaceDN/>
        <w:bidi w:val="0"/>
        <w:snapToGrid/>
        <w:spacing w:line="360" w:lineRule="auto"/>
      </w:pPr>
      <w:r>
        <w:rPr>
          <w:rFonts w:hint="eastAsia"/>
        </w:rPr>
        <w:t>附录：</w:t>
      </w:r>
    </w:p>
    <w:p>
      <w:pPr>
        <w:pageBreakBefore w:val="0"/>
        <w:kinsoku/>
        <w:wordWrap w:val="0"/>
        <w:overflowPunct/>
        <w:topLinePunct w:val="0"/>
        <w:autoSpaceDE/>
        <w:autoSpaceDN/>
        <w:bidi w:val="0"/>
        <w:snapToGrid/>
        <w:spacing w:line="360" w:lineRule="auto"/>
      </w:pPr>
      <w:r>
        <w:tab/>
      </w:r>
      <w:r>
        <w:rPr>
          <w:rFonts w:hint="eastAsia"/>
        </w:rPr>
        <w:t>一：</w:t>
      </w:r>
    </w:p>
    <w:p>
      <w:pPr>
        <w:pageBreakBefore w:val="0"/>
        <w:widowControl/>
        <w:kinsoku/>
        <w:wordWrap w:val="0"/>
        <w:overflowPunct/>
        <w:topLinePunct w:val="0"/>
        <w:autoSpaceDE/>
        <w:autoSpaceDN/>
        <w:bidi w:val="0"/>
        <w:adjustRightInd w:val="0"/>
        <w:snapToGrid/>
        <w:spacing w:before="100" w:beforeAutospacing="1" w:after="100" w:afterAutospacing="1" w:line="360" w:lineRule="auto"/>
        <w:ind w:firstLine="420"/>
        <w:jc w:val="left"/>
        <w:textAlignment w:val="baseline"/>
      </w:pPr>
      <w:r>
        <w:rPr>
          <w:rFonts w:hint="eastAsia"/>
        </w:rPr>
        <w:t>因本项目采用网上开标大厅交易方式，招标人特别说明如下：</w:t>
      </w:r>
    </w:p>
    <w:p>
      <w:pPr>
        <w:pageBreakBefore w:val="0"/>
        <w:widowControl/>
        <w:kinsoku/>
        <w:wordWrap w:val="0"/>
        <w:overflowPunct/>
        <w:topLinePunct w:val="0"/>
        <w:autoSpaceDE/>
        <w:autoSpaceDN/>
        <w:bidi w:val="0"/>
        <w:adjustRightInd w:val="0"/>
        <w:snapToGrid/>
        <w:spacing w:before="100" w:beforeAutospacing="1" w:after="100" w:afterAutospacing="1" w:line="360" w:lineRule="auto"/>
        <w:ind w:firstLine="420"/>
        <w:jc w:val="left"/>
        <w:textAlignment w:val="baseline"/>
      </w:pPr>
      <w:r>
        <w:rPr>
          <w:rFonts w:hint="eastAsia"/>
        </w:rPr>
        <w:t>1、远程开标项目的时间均以国家授时中心发布的时间为准。</w:t>
      </w:r>
    </w:p>
    <w:p>
      <w:pPr>
        <w:pageBreakBefore w:val="0"/>
        <w:widowControl/>
        <w:kinsoku/>
        <w:wordWrap w:val="0"/>
        <w:overflowPunct/>
        <w:topLinePunct w:val="0"/>
        <w:autoSpaceDE/>
        <w:autoSpaceDN/>
        <w:bidi w:val="0"/>
        <w:adjustRightInd w:val="0"/>
        <w:snapToGrid/>
        <w:spacing w:before="100" w:beforeAutospacing="1" w:after="100" w:afterAutospacing="1" w:line="360" w:lineRule="auto"/>
        <w:ind w:firstLine="420"/>
        <w:jc w:val="left"/>
        <w:textAlignment w:val="baseline"/>
      </w:pPr>
      <w:r>
        <w:rPr>
          <w:rFonts w:hint="eastAsia"/>
        </w:rPr>
        <w:t>2、本项目招投标文件均用专用招投标工具软件编制，并通过电子交易平台完成招投标过程。投标人投标文件的编制和递交，应依照招标文件的规定进行。如未按招标文件要求编制、递交电子投标文件，将可能导致废标，其后果由投标人自负。投标人如对正确使用投标文件制作工具软件有疑问的，请拨打系统内客服电话咨询。</w:t>
      </w:r>
    </w:p>
    <w:p>
      <w:pPr>
        <w:pageBreakBefore w:val="0"/>
        <w:widowControl/>
        <w:kinsoku/>
        <w:wordWrap w:val="0"/>
        <w:overflowPunct/>
        <w:topLinePunct w:val="0"/>
        <w:autoSpaceDE/>
        <w:autoSpaceDN/>
        <w:bidi w:val="0"/>
        <w:adjustRightInd w:val="0"/>
        <w:snapToGrid/>
        <w:spacing w:before="100" w:beforeAutospacing="1" w:after="100" w:afterAutospacing="1" w:line="360" w:lineRule="auto"/>
        <w:ind w:firstLine="420"/>
        <w:jc w:val="left"/>
        <w:textAlignment w:val="baseline"/>
      </w:pPr>
      <w:r>
        <w:rPr>
          <w:rFonts w:hint="eastAsia"/>
        </w:rPr>
        <w:t>3、投标人通过网上招投标平台递交的电子投标文件为评标依据，投标人须使用工具制作电子投标文件时生成加密投标文件，用于上传投标文件；开标当日，投标人不必抵达开标现场，在任意地点通过</w:t>
      </w:r>
      <w:r>
        <w:rPr>
          <w:rFonts w:hint="eastAsia"/>
          <w:lang w:eastAsia="zh-CN"/>
        </w:rPr>
        <w:t>秦皇岛</w:t>
      </w:r>
      <w:r>
        <w:rPr>
          <w:rFonts w:hint="eastAsia"/>
        </w:rPr>
        <w:t>市公共资源交易网上开标大厅系统（以下简称：“网上开标大厅”）参加开标会议，并根据需要使用网上开标大厅与现场开标主持人进行互动交流、澄清、提疑以及文件传送等活动。</w:t>
      </w:r>
    </w:p>
    <w:p>
      <w:pPr>
        <w:pageBreakBefore w:val="0"/>
        <w:widowControl/>
        <w:kinsoku/>
        <w:wordWrap w:val="0"/>
        <w:overflowPunct/>
        <w:topLinePunct w:val="0"/>
        <w:autoSpaceDE/>
        <w:autoSpaceDN/>
        <w:bidi w:val="0"/>
        <w:adjustRightInd w:val="0"/>
        <w:snapToGrid/>
        <w:spacing w:before="100" w:beforeAutospacing="1" w:after="100" w:afterAutospacing="1" w:line="360" w:lineRule="auto"/>
        <w:ind w:firstLine="420"/>
        <w:jc w:val="left"/>
        <w:textAlignment w:val="baseline"/>
      </w:pPr>
      <w:r>
        <w:rPr>
          <w:rFonts w:hint="eastAsia"/>
        </w:rPr>
        <w:t>4、投标文件递交截止时间前一小时内，各投标人的授权委托人或法人代表均提前进入网上开标大厅，选择进入对应标段的开标会议区在线签到。登录</w:t>
      </w:r>
      <w:r>
        <w:rPr>
          <w:rFonts w:hint="eastAsia"/>
          <w:lang w:eastAsia="zh-CN"/>
        </w:rPr>
        <w:t>秦皇岛</w:t>
      </w:r>
      <w:r>
        <w:rPr>
          <w:rFonts w:hint="eastAsia"/>
        </w:rPr>
        <w:t>市网上开标大厅：</w:t>
      </w:r>
      <w:r>
        <w:rPr>
          <w:rFonts w:hint="eastAsia"/>
          <w:color w:val="auto"/>
          <w:u w:val="none"/>
          <w:lang w:eastAsia="zh-CN"/>
        </w:rPr>
        <w:t>http://110.249.177.252:90/BidOpening/bidopeninghallaction/hall/login</w:t>
      </w:r>
      <w:r>
        <w:rPr>
          <w:rFonts w:hint="eastAsia"/>
          <w:color w:val="auto"/>
          <w:u w:val="none"/>
        </w:rPr>
        <w:t>，根据操作手册（请在</w:t>
      </w:r>
      <w:r>
        <w:rPr>
          <w:rFonts w:hint="eastAsia"/>
          <w:color w:val="auto"/>
          <w:u w:val="none"/>
          <w:lang w:val="en-US" w:eastAsia="zh-CN"/>
        </w:rPr>
        <w:t>新版本</w:t>
      </w:r>
      <w:r>
        <w:rPr>
          <w:rFonts w:hint="eastAsia"/>
          <w:lang w:val="en-US" w:eastAsia="zh-CN"/>
        </w:rPr>
        <w:t>秦皇岛</w:t>
      </w:r>
      <w:r>
        <w:rPr>
          <w:rFonts w:hint="eastAsia"/>
        </w:rPr>
        <w:t>公共资源交易中心网站</w:t>
      </w:r>
      <w:r>
        <w:rPr>
          <w:rFonts w:hint="eastAsia"/>
          <w:lang w:eastAsia="zh-CN"/>
        </w:rPr>
        <w:t>（</w:t>
      </w:r>
      <w:r>
        <w:rPr>
          <w:rFonts w:hint="eastAsia"/>
          <w:lang w:val="en-US" w:eastAsia="zh-CN"/>
        </w:rPr>
        <w:t>https://www.qhdggzy.cn/qhdggzy/</w:t>
      </w:r>
      <w:r>
        <w:rPr>
          <w:rFonts w:hint="eastAsia"/>
          <w:lang w:eastAsia="zh-CN"/>
        </w:rPr>
        <w:t>）</w:t>
      </w:r>
      <w:r>
        <w:rPr>
          <w:rFonts w:hint="eastAsia"/>
        </w:rPr>
        <w:t>-办事指南-</w:t>
      </w:r>
      <w:r>
        <w:rPr>
          <w:rFonts w:hint="eastAsia"/>
          <w:lang w:val="en-US" w:eastAsia="zh-CN"/>
        </w:rPr>
        <w:t>交易响应方-</w:t>
      </w:r>
      <w:r>
        <w:rPr>
          <w:rFonts w:hint="eastAsia"/>
        </w:rPr>
        <w:t>“操作手册”中下载）收听观看实时音视频交互效果，在开标过程中如有疑义请及时在讨论组中反馈。投标人未按时加入开标会议区或未能在开标会议区内全程参与交互的，视为放弃交互和对开评标全过程提疑的权利，投标人将无法看到解密指令、废标及澄清、唱标、开标结果等情况，并承担由此导致的一切后果。</w:t>
      </w:r>
    </w:p>
    <w:p>
      <w:pPr>
        <w:pageBreakBefore w:val="0"/>
        <w:widowControl/>
        <w:kinsoku/>
        <w:wordWrap w:val="0"/>
        <w:overflowPunct/>
        <w:topLinePunct w:val="0"/>
        <w:autoSpaceDE/>
        <w:autoSpaceDN/>
        <w:bidi w:val="0"/>
        <w:adjustRightInd w:val="0"/>
        <w:snapToGrid/>
        <w:spacing w:before="100" w:beforeAutospacing="1" w:after="100" w:afterAutospacing="1" w:line="360" w:lineRule="auto"/>
        <w:ind w:firstLine="420"/>
        <w:jc w:val="left"/>
        <w:textAlignment w:val="baseline"/>
      </w:pPr>
      <w:r>
        <w:rPr>
          <w:rFonts w:hint="eastAsia"/>
        </w:rPr>
        <w:t>5、投标文件递交截止时间后，将在系统内公布投标人名单，然后通过开标会议区发出投标文件解密的指令，投标人在各自地点按规定时间自行实施远程解密。因投标人网络与电源不稳定、未按操作手册要求配置软硬件、CA密钥发生故障或用错、故意不在要求时限内完成解密等自身原因，导致投标文件在规定时间内未能解密、解密失败或解密超时，视为投标人撤销其投标文件，系统内投标文件将被退回；因招标人原因或网上开标大厅发生故障，导致无法按时完成投标文件解密或开、评标工作无法进行的，可根据实际情况相应延迟解密时间。【温馨提示：请使用制作投标文件CA密钥进行解密；如解密失败请立刻通过使用网上开标大厅交互功能联系开标主持人，或拨打技术支持电话</w:t>
      </w:r>
      <w:r>
        <w:rPr>
          <w:rFonts w:hint="eastAsia"/>
          <w:lang w:val="en-US" w:eastAsia="zh-CN"/>
        </w:rPr>
        <w:t>18131715362</w:t>
      </w:r>
      <w:r>
        <w:rPr>
          <w:rFonts w:hint="eastAsia"/>
        </w:rPr>
        <w:t>】。</w:t>
      </w:r>
    </w:p>
    <w:p>
      <w:pPr>
        <w:pageBreakBefore w:val="0"/>
        <w:widowControl/>
        <w:kinsoku/>
        <w:wordWrap w:val="0"/>
        <w:overflowPunct/>
        <w:topLinePunct w:val="0"/>
        <w:autoSpaceDE/>
        <w:autoSpaceDN/>
        <w:bidi w:val="0"/>
        <w:adjustRightInd w:val="0"/>
        <w:snapToGrid/>
        <w:spacing w:before="100" w:beforeAutospacing="1" w:after="100" w:afterAutospacing="1" w:line="360" w:lineRule="auto"/>
        <w:ind w:firstLine="420"/>
        <w:jc w:val="left"/>
        <w:textAlignment w:val="baseline"/>
      </w:pPr>
      <w:r>
        <w:rPr>
          <w:rFonts w:hint="eastAsia"/>
        </w:rPr>
        <w:t>6、开评标全过程中，各投标人参与远程交互的授权委托人或法人代表应始终为同一个人，中途不得更换，在废标、澄清、提疑、传送文件等特殊情况下需要交互时，投标人一端参与交互的人员将均被视为是投标人的授权委托人或法人代表，投标人不得以不承认交互人员的资格或身份等为借口抵赖推脱，投标人自行承担随意更换人员所导致的一切后果。</w:t>
      </w:r>
    </w:p>
    <w:p>
      <w:pPr>
        <w:pageBreakBefore w:val="0"/>
        <w:widowControl/>
        <w:kinsoku/>
        <w:wordWrap w:val="0"/>
        <w:overflowPunct/>
        <w:topLinePunct w:val="0"/>
        <w:autoSpaceDE/>
        <w:autoSpaceDN/>
        <w:bidi w:val="0"/>
        <w:adjustRightInd w:val="0"/>
        <w:snapToGrid/>
        <w:spacing w:before="100" w:beforeAutospacing="1" w:after="100" w:afterAutospacing="1" w:line="360" w:lineRule="auto"/>
        <w:ind w:firstLine="420"/>
        <w:jc w:val="left"/>
        <w:textAlignment w:val="baseline"/>
      </w:pPr>
      <w:r>
        <w:rPr>
          <w:rFonts w:hint="eastAsia"/>
        </w:rPr>
        <w:t>7、为顺利实现本项目开评标的远程交互，建议投标人配置的硬件设施有：高配置电脑（操作系统要求Windows7及以上，IE浏览器暂只支持IE11及以上）、高速稳定的网络（独享网络带宽4M以上）、电源（不间断）、CA密钥、音视频设备（话筒、耳麦、高清摄像头、音响）等；建议投标人具备的软件设施有：安装河北省通用数字证书驱动最新版本（可到河北省公共资源交易信息网http://www.hebpr.gov.cn/hbjyzx/bszn/006005/bsznmore.html下载数字证书驱动）。为保证交互效果，建议投标人选择封闭安静的地点参与远程交互。因投标人自身软硬件配备不齐全或发生故障等问题而导致在交互过程中出现不稳定或中断等情况的，由投标人自身承担一切后果。</w:t>
      </w:r>
    </w:p>
    <w:p>
      <w:pPr>
        <w:pageBreakBefore w:val="0"/>
        <w:kinsoku/>
        <w:wordWrap w:val="0"/>
        <w:overflowPunct/>
        <w:topLinePunct w:val="0"/>
        <w:autoSpaceDE/>
        <w:autoSpaceDN/>
        <w:bidi w:val="0"/>
        <w:snapToGrid/>
        <w:spacing w:line="360" w:lineRule="auto"/>
      </w:pPr>
      <w:r>
        <w:rPr>
          <w:rFonts w:hint="eastAsia"/>
        </w:rPr>
        <w:t>二：</w:t>
      </w:r>
    </w:p>
    <w:p>
      <w:pPr>
        <w:pageBreakBefore w:val="0"/>
        <w:kinsoku/>
        <w:wordWrap w:val="0"/>
        <w:overflowPunct/>
        <w:topLinePunct w:val="0"/>
        <w:autoSpaceDE/>
        <w:autoSpaceDN/>
        <w:bidi w:val="0"/>
        <w:adjustRightInd w:val="0"/>
        <w:snapToGrid/>
        <w:spacing w:line="360" w:lineRule="auto"/>
        <w:ind w:firstLine="496" w:firstLineChars="207"/>
        <w:jc w:val="left"/>
        <w:textAlignment w:val="baseline"/>
      </w:pPr>
      <w:r>
        <w:rPr>
          <w:rFonts w:hint="eastAsia"/>
        </w:rPr>
        <w:t>本项目开标时通过</w:t>
      </w:r>
      <w:r>
        <w:rPr>
          <w:rFonts w:hint="eastAsia"/>
          <w:lang w:eastAsia="zh-CN"/>
        </w:rPr>
        <w:t>秦皇岛</w:t>
      </w:r>
      <w:r>
        <w:rPr>
          <w:rFonts w:hint="eastAsia"/>
        </w:rPr>
        <w:t>市网上开标大厅系统及相应的配套硬件设备（摄像头、话筒、麦克风等）完成远程解密、提疑澄清、开标唱标、结果公布等交互环节。</w:t>
      </w:r>
    </w:p>
    <w:p>
      <w:pPr>
        <w:pageBreakBefore w:val="0"/>
        <w:kinsoku/>
        <w:wordWrap w:val="0"/>
        <w:overflowPunct/>
        <w:topLinePunct w:val="0"/>
        <w:autoSpaceDE/>
        <w:autoSpaceDN/>
        <w:bidi w:val="0"/>
        <w:adjustRightInd w:val="0"/>
        <w:snapToGrid/>
        <w:spacing w:line="360" w:lineRule="auto"/>
        <w:ind w:firstLine="496" w:firstLineChars="207"/>
        <w:jc w:val="left"/>
        <w:textAlignment w:val="baseline"/>
      </w:pPr>
      <w:r>
        <w:rPr>
          <w:rFonts w:hint="eastAsia"/>
        </w:rPr>
        <w:t>为保证本项目远程开标会议顺利进行，特做如下提醒：</w:t>
      </w:r>
    </w:p>
    <w:p>
      <w:pPr>
        <w:pageBreakBefore w:val="0"/>
        <w:kinsoku/>
        <w:wordWrap w:val="0"/>
        <w:overflowPunct/>
        <w:topLinePunct w:val="0"/>
        <w:autoSpaceDE/>
        <w:autoSpaceDN/>
        <w:bidi w:val="0"/>
        <w:adjustRightInd w:val="0"/>
        <w:snapToGrid/>
        <w:spacing w:line="360" w:lineRule="auto"/>
        <w:ind w:firstLine="496" w:firstLineChars="207"/>
        <w:jc w:val="left"/>
        <w:textAlignment w:val="baseline"/>
      </w:pPr>
      <w:r>
        <w:t>1.</w:t>
      </w:r>
      <w:r>
        <w:rPr>
          <w:rFonts w:hint="eastAsia"/>
        </w:rPr>
        <w:t>本项目通过电子交易平台递交投标文件，各投标人务必在投标文件递交截止时间前仔细确认投标文件已成功递交到系统内（以往项目中，经常发生投标人多次撤回修改投标文件，而却忽略最终递交的步骤），若因投标人原因导致递交失败，开标当日不得使用备用非加密文件进行补救，后果由投标人自负。</w:t>
      </w:r>
    </w:p>
    <w:p>
      <w:pPr>
        <w:pageBreakBefore w:val="0"/>
        <w:kinsoku/>
        <w:wordWrap w:val="0"/>
        <w:overflowPunct/>
        <w:topLinePunct w:val="0"/>
        <w:autoSpaceDE/>
        <w:autoSpaceDN/>
        <w:bidi w:val="0"/>
        <w:adjustRightInd w:val="0"/>
        <w:snapToGrid/>
        <w:spacing w:line="360" w:lineRule="auto"/>
        <w:ind w:firstLine="496" w:firstLineChars="207"/>
        <w:jc w:val="left"/>
        <w:textAlignment w:val="baseline"/>
      </w:pPr>
      <w:r>
        <w:t>2.</w:t>
      </w:r>
      <w:r>
        <w:rPr>
          <w:rFonts w:hint="eastAsia"/>
        </w:rPr>
        <w:t>可使用</w:t>
      </w:r>
      <w:r>
        <w:rPr>
          <w:rFonts w:hint="eastAsia"/>
          <w:lang w:eastAsia="zh-CN"/>
        </w:rPr>
        <w:t>秦皇岛</w:t>
      </w:r>
      <w:r>
        <w:rPr>
          <w:rFonts w:hint="eastAsia"/>
        </w:rPr>
        <w:t>市公共资源交易综合信息平台（http://publicservice.hebpr.cn/PublicService）中的模拟解密功能，如能正常解密，说明本机满足远程自助解密要求。</w:t>
      </w:r>
    </w:p>
    <w:p>
      <w:pPr>
        <w:pageBreakBefore w:val="0"/>
        <w:kinsoku/>
        <w:wordWrap w:val="0"/>
        <w:overflowPunct/>
        <w:topLinePunct w:val="0"/>
        <w:autoSpaceDE/>
        <w:autoSpaceDN/>
        <w:bidi w:val="0"/>
        <w:adjustRightInd w:val="0"/>
        <w:snapToGrid/>
        <w:spacing w:line="360" w:lineRule="auto"/>
        <w:ind w:firstLine="496" w:firstLineChars="207"/>
        <w:jc w:val="left"/>
        <w:textAlignment w:val="baseline"/>
      </w:pPr>
      <w:r>
        <w:t>3.</w:t>
      </w:r>
      <w:r>
        <w:rPr>
          <w:rFonts w:hint="eastAsia"/>
        </w:rPr>
        <w:t>进入</w:t>
      </w:r>
      <w:r>
        <w:rPr>
          <w:rFonts w:hint="eastAsia"/>
          <w:lang w:eastAsia="zh-CN"/>
        </w:rPr>
        <w:t>秦皇岛</w:t>
      </w:r>
      <w:r>
        <w:rPr>
          <w:rFonts w:hint="eastAsia"/>
        </w:rPr>
        <w:t>市网上开标大厅系统后，请将CA密钥插入电脑并做好解密准备，在主持人的发出解密指令后，投标人在规定时间内完成解密。请投标人务必确保电脑、操作系统、浏览器等满足远程开标的使用、具备高速畅通的网络，并确保CA密钥不出故障。若因投标人自身的网络及软硬件问题导致在解密截止时间仍然未解密，投标文件将会被打回，不能参与后续评标。</w:t>
      </w:r>
    </w:p>
    <w:p>
      <w:pPr>
        <w:pageBreakBefore w:val="0"/>
        <w:kinsoku/>
        <w:wordWrap w:val="0"/>
        <w:overflowPunct/>
        <w:topLinePunct w:val="0"/>
        <w:autoSpaceDE/>
        <w:autoSpaceDN/>
        <w:bidi w:val="0"/>
        <w:adjustRightInd w:val="0"/>
        <w:snapToGrid/>
        <w:spacing w:line="360" w:lineRule="auto"/>
        <w:ind w:firstLine="496" w:firstLineChars="207"/>
        <w:jc w:val="left"/>
        <w:textAlignment w:val="baseline"/>
      </w:pPr>
      <w:r>
        <w:t>4.</w:t>
      </w:r>
      <w:r>
        <w:rPr>
          <w:rFonts w:hint="eastAsia"/>
          <w:lang w:eastAsia="zh-CN"/>
        </w:rPr>
        <w:t>秦皇岛</w:t>
      </w:r>
      <w:r>
        <w:rPr>
          <w:rFonts w:hint="eastAsia"/>
        </w:rPr>
        <w:t>市网上开标大厅系统访问地址</w:t>
      </w:r>
    </w:p>
    <w:p>
      <w:pPr>
        <w:pageBreakBefore w:val="0"/>
        <w:kinsoku/>
        <w:wordWrap w:val="0"/>
        <w:overflowPunct/>
        <w:topLinePunct w:val="0"/>
        <w:autoSpaceDE/>
        <w:autoSpaceDN/>
        <w:bidi w:val="0"/>
        <w:adjustRightInd w:val="0"/>
        <w:snapToGrid/>
        <w:spacing w:line="360" w:lineRule="auto"/>
        <w:ind w:firstLine="496" w:firstLineChars="207"/>
        <w:jc w:val="left"/>
        <w:textAlignment w:val="baseline"/>
      </w:pPr>
      <w:r>
        <w:fldChar w:fldCharType="begin"/>
      </w:r>
      <w:r>
        <w:instrText xml:space="preserve"> HYPERLINK "http://222.222.66.156:8050/BidOpening/bidopeninghallaction/hall/login" </w:instrText>
      </w:r>
      <w:r>
        <w:fldChar w:fldCharType="separate"/>
      </w:r>
      <w:r>
        <w:rPr>
          <w:rFonts w:hint="eastAsia"/>
          <w:lang w:eastAsia="zh-CN"/>
        </w:rPr>
        <w:t>http://110.249.177.252:90/BidOpening/bidopeninghallaction/hall/login</w:t>
      </w:r>
      <w:r>
        <w:fldChar w:fldCharType="end"/>
      </w:r>
    </w:p>
    <w:p>
      <w:pPr>
        <w:pageBreakBefore w:val="0"/>
        <w:kinsoku/>
        <w:wordWrap w:val="0"/>
        <w:overflowPunct/>
        <w:topLinePunct w:val="0"/>
        <w:autoSpaceDE/>
        <w:autoSpaceDN/>
        <w:bidi w:val="0"/>
        <w:snapToGrid/>
        <w:spacing w:line="360" w:lineRule="auto"/>
      </w:pPr>
      <w:r>
        <w:rPr>
          <w:rFonts w:hint="eastAsia"/>
        </w:rPr>
        <w:t>【温馨提示：请使用制作投标文件CA密钥进行解密；如解密失败请立刻通过使用网上开标大厅交互功能联系开标主持人，或拨打技术支持电话</w:t>
      </w:r>
      <w:r>
        <w:rPr>
          <w:rFonts w:hint="eastAsia"/>
          <w:lang w:val="en-US" w:eastAsia="zh-CN"/>
        </w:rPr>
        <w:t>18131715362</w:t>
      </w:r>
      <w:r>
        <w:rPr>
          <w:rFonts w:hint="eastAsia"/>
        </w:rPr>
        <w:t>】。</w:t>
      </w:r>
    </w:p>
    <w:p>
      <w:pPr>
        <w:pageBreakBefore w:val="0"/>
        <w:kinsoku/>
        <w:wordWrap w:val="0"/>
        <w:overflowPunct/>
        <w:topLinePunct w:val="0"/>
        <w:autoSpaceDE/>
        <w:autoSpaceDN/>
        <w:bidi w:val="0"/>
        <w:snapToGrid/>
        <w:spacing w:line="360" w:lineRule="auto"/>
      </w:pPr>
      <w:r>
        <w:rPr>
          <w:rFonts w:hint="eastAsia"/>
        </w:rPr>
        <w:t>三、公告内容新增：</w:t>
      </w:r>
    </w:p>
    <w:p>
      <w:pPr>
        <w:pageBreakBefore w:val="0"/>
        <w:kinsoku/>
        <w:wordWrap w:val="0"/>
        <w:overflowPunct/>
        <w:topLinePunct w:val="0"/>
        <w:autoSpaceDE/>
        <w:autoSpaceDN/>
        <w:bidi w:val="0"/>
        <w:snapToGrid/>
        <w:spacing w:line="360" w:lineRule="auto"/>
      </w:pPr>
      <w:r>
        <w:rPr>
          <w:rFonts w:hint="eastAsia"/>
        </w:rPr>
        <w:t>本项目采用不见面开标形式，投标单位无需到现场，详情请查看招标文件。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A262A"/>
    <w:multiLevelType w:val="multilevel"/>
    <w:tmpl w:val="16FA262A"/>
    <w:lvl w:ilvl="0" w:tentative="0">
      <w:start w:val="1"/>
      <w:numFmt w:val="japaneseCounting"/>
      <w:lvlText w:val="%1、"/>
      <w:lvlJc w:val="left"/>
      <w:pPr>
        <w:ind w:left="420" w:hanging="420"/>
      </w:pPr>
      <w:rPr>
        <w:rFonts w:hint="default"/>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CEE73B4"/>
    <w:multiLevelType w:val="multilevel"/>
    <w:tmpl w:val="2CEE73B4"/>
    <w:lvl w:ilvl="0" w:tentative="0">
      <w:start w:val="1"/>
      <w:numFmt w:val="decimal"/>
      <w:lvlText w:val="%1."/>
      <w:lvlJc w:val="left"/>
      <w:pPr>
        <w:ind w:left="420" w:hanging="420"/>
      </w:pPr>
      <w:rPr>
        <w:rFonts w:hint="default"/>
      </w:rPr>
    </w:lvl>
    <w:lvl w:ilvl="1" w:tentative="0">
      <w:start w:val="2"/>
      <w:numFmt w:val="decimal"/>
      <w:isLgl/>
      <w:lvlText w:val="%1.%2"/>
      <w:lvlJc w:val="left"/>
      <w:pPr>
        <w:ind w:left="980" w:hanging="560"/>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1980" w:hanging="72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180" w:hanging="108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380" w:hanging="1440"/>
      </w:pPr>
      <w:rPr>
        <w:rFonts w:hint="default"/>
      </w:rPr>
    </w:lvl>
    <w:lvl w:ilvl="8" w:tentative="0">
      <w:start w:val="1"/>
      <w:numFmt w:val="decimal"/>
      <w:isLgl/>
      <w:lvlText w:val="%1.%2.%3.%4.%5.%6.%7.%8.%9"/>
      <w:lvlJc w:val="left"/>
      <w:pPr>
        <w:ind w:left="5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9BD"/>
    <w:rsid w:val="00053C6B"/>
    <w:rsid w:val="000839E5"/>
    <w:rsid w:val="000F518D"/>
    <w:rsid w:val="00105597"/>
    <w:rsid w:val="00132248"/>
    <w:rsid w:val="00132E4D"/>
    <w:rsid w:val="001D48BA"/>
    <w:rsid w:val="00202484"/>
    <w:rsid w:val="00206A2E"/>
    <w:rsid w:val="00210C84"/>
    <w:rsid w:val="0024760A"/>
    <w:rsid w:val="00263E82"/>
    <w:rsid w:val="002F12AE"/>
    <w:rsid w:val="003555C7"/>
    <w:rsid w:val="003775F2"/>
    <w:rsid w:val="00452F50"/>
    <w:rsid w:val="0054555F"/>
    <w:rsid w:val="005816F2"/>
    <w:rsid w:val="005B1E90"/>
    <w:rsid w:val="0062110E"/>
    <w:rsid w:val="00651148"/>
    <w:rsid w:val="006A0DA8"/>
    <w:rsid w:val="006B2C10"/>
    <w:rsid w:val="006E02C4"/>
    <w:rsid w:val="00743A5B"/>
    <w:rsid w:val="00785798"/>
    <w:rsid w:val="0081469A"/>
    <w:rsid w:val="00854A2B"/>
    <w:rsid w:val="00895797"/>
    <w:rsid w:val="00943AEA"/>
    <w:rsid w:val="009A582A"/>
    <w:rsid w:val="009E3365"/>
    <w:rsid w:val="009F36CB"/>
    <w:rsid w:val="00A36976"/>
    <w:rsid w:val="00AD5E5B"/>
    <w:rsid w:val="00AF0B43"/>
    <w:rsid w:val="00C15F1F"/>
    <w:rsid w:val="00D2594C"/>
    <w:rsid w:val="00D30410"/>
    <w:rsid w:val="00DB11FF"/>
    <w:rsid w:val="00E927BB"/>
    <w:rsid w:val="00FF49BD"/>
    <w:rsid w:val="06F75E33"/>
    <w:rsid w:val="28D36ED6"/>
    <w:rsid w:val="2CC128F0"/>
    <w:rsid w:val="333A4627"/>
    <w:rsid w:val="38D057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Balloon Text"/>
    <w:basedOn w:val="1"/>
    <w:link w:val="24"/>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Subtitle"/>
    <w:basedOn w:val="1"/>
    <w:next w:val="1"/>
    <w:link w:val="19"/>
    <w:qFormat/>
    <w:uiPriority w:val="11"/>
    <w:pPr>
      <w:spacing w:before="240" w:after="60" w:line="312" w:lineRule="auto"/>
      <w:jc w:val="center"/>
      <w:outlineLvl w:val="1"/>
    </w:pPr>
    <w:rPr>
      <w:rFonts w:eastAsiaTheme="minorEastAsia"/>
      <w:b/>
      <w:bCs/>
      <w:kern w:val="28"/>
      <w:sz w:val="32"/>
      <w:szCs w:val="32"/>
    </w:rPr>
  </w:style>
  <w:style w:type="paragraph" w:styleId="11">
    <w:name w:val="toc 2"/>
    <w:basedOn w:val="1"/>
    <w:next w:val="1"/>
    <w:unhideWhenUsed/>
    <w:qFormat/>
    <w:uiPriority w:val="39"/>
    <w:pPr>
      <w:ind w:left="420" w:leftChars="200"/>
    </w:pPr>
  </w:style>
  <w:style w:type="paragraph" w:styleId="12">
    <w:name w:val="Title"/>
    <w:basedOn w:val="1"/>
    <w:next w:val="1"/>
    <w:link w:val="18"/>
    <w:qFormat/>
    <w:uiPriority w:val="10"/>
    <w:pPr>
      <w:spacing w:before="240" w:after="60"/>
      <w:jc w:val="center"/>
      <w:outlineLvl w:val="0"/>
    </w:pPr>
    <w:rPr>
      <w:rFonts w:asciiTheme="majorHAnsi" w:hAnsiTheme="majorHAnsi" w:eastAsiaTheme="majorEastAsia" w:cstheme="majorBidi"/>
      <w:b/>
      <w:bCs/>
      <w:sz w:val="32"/>
      <w:szCs w:val="32"/>
    </w:r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6">
    <w:name w:val="页眉 字符"/>
    <w:basedOn w:val="14"/>
    <w:link w:val="9"/>
    <w:qFormat/>
    <w:uiPriority w:val="99"/>
    <w:rPr>
      <w:sz w:val="18"/>
      <w:szCs w:val="18"/>
    </w:rPr>
  </w:style>
  <w:style w:type="character" w:customStyle="1" w:styleId="17">
    <w:name w:val="页脚 字符"/>
    <w:basedOn w:val="14"/>
    <w:link w:val="8"/>
    <w:uiPriority w:val="99"/>
    <w:rPr>
      <w:sz w:val="18"/>
      <w:szCs w:val="18"/>
    </w:rPr>
  </w:style>
  <w:style w:type="character" w:customStyle="1" w:styleId="18">
    <w:name w:val="标题 字符"/>
    <w:basedOn w:val="14"/>
    <w:link w:val="12"/>
    <w:qFormat/>
    <w:uiPriority w:val="10"/>
    <w:rPr>
      <w:rFonts w:asciiTheme="majorHAnsi" w:hAnsiTheme="majorHAnsi" w:eastAsiaTheme="majorEastAsia" w:cstheme="majorBidi"/>
      <w:b/>
      <w:bCs/>
      <w:sz w:val="32"/>
      <w:szCs w:val="32"/>
    </w:rPr>
  </w:style>
  <w:style w:type="character" w:customStyle="1" w:styleId="19">
    <w:name w:val="副标题 字符"/>
    <w:basedOn w:val="14"/>
    <w:link w:val="10"/>
    <w:qFormat/>
    <w:uiPriority w:val="11"/>
    <w:rPr>
      <w:b/>
      <w:bCs/>
      <w:kern w:val="28"/>
      <w:sz w:val="32"/>
      <w:szCs w:val="32"/>
    </w:rPr>
  </w:style>
  <w:style w:type="character" w:customStyle="1" w:styleId="20">
    <w:name w:val="标题 2 字符"/>
    <w:basedOn w:val="14"/>
    <w:link w:val="3"/>
    <w:qFormat/>
    <w:uiPriority w:val="9"/>
    <w:rPr>
      <w:rFonts w:asciiTheme="majorHAnsi" w:hAnsiTheme="majorHAnsi" w:eastAsiaTheme="majorEastAsia" w:cstheme="majorBidi"/>
      <w:b/>
      <w:bCs/>
      <w:sz w:val="32"/>
      <w:szCs w:val="32"/>
    </w:rPr>
  </w:style>
  <w:style w:type="character" w:customStyle="1" w:styleId="21">
    <w:name w:val="标题 3 字符"/>
    <w:basedOn w:val="14"/>
    <w:link w:val="4"/>
    <w:qFormat/>
    <w:uiPriority w:val="9"/>
    <w:rPr>
      <w:rFonts w:eastAsia="宋体"/>
      <w:b/>
      <w:bCs/>
      <w:sz w:val="32"/>
      <w:szCs w:val="32"/>
    </w:rPr>
  </w:style>
  <w:style w:type="character" w:customStyle="1" w:styleId="22">
    <w:name w:val="标题 4 字符"/>
    <w:basedOn w:val="14"/>
    <w:link w:val="5"/>
    <w:qFormat/>
    <w:uiPriority w:val="9"/>
    <w:rPr>
      <w:rFonts w:asciiTheme="majorHAnsi" w:hAnsiTheme="majorHAnsi" w:eastAsiaTheme="majorEastAsia" w:cstheme="majorBidi"/>
      <w:b/>
      <w:bCs/>
      <w:sz w:val="28"/>
      <w:szCs w:val="28"/>
    </w:rPr>
  </w:style>
  <w:style w:type="paragraph" w:styleId="23">
    <w:name w:val="List Paragraph"/>
    <w:basedOn w:val="1"/>
    <w:qFormat/>
    <w:uiPriority w:val="34"/>
    <w:pPr>
      <w:ind w:firstLine="420" w:firstLineChars="200"/>
    </w:pPr>
  </w:style>
  <w:style w:type="character" w:customStyle="1" w:styleId="24">
    <w:name w:val="批注框文本 字符"/>
    <w:basedOn w:val="14"/>
    <w:link w:val="7"/>
    <w:semiHidden/>
    <w:qFormat/>
    <w:uiPriority w:val="99"/>
    <w:rPr>
      <w:rFonts w:eastAsia="宋体"/>
      <w:sz w:val="18"/>
      <w:szCs w:val="18"/>
    </w:rPr>
  </w:style>
  <w:style w:type="character" w:customStyle="1" w:styleId="25">
    <w:name w:val="标题 1 字符"/>
    <w:basedOn w:val="14"/>
    <w:link w:val="2"/>
    <w:qFormat/>
    <w:uiPriority w:val="9"/>
    <w:rPr>
      <w:rFonts w:eastAsia="宋体"/>
      <w:b/>
      <w:bCs/>
      <w:kern w:val="44"/>
      <w:sz w:val="44"/>
      <w:szCs w:val="44"/>
    </w:rPr>
  </w:style>
  <w:style w:type="paragraph" w:customStyle="1" w:styleId="2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98ED0B-89A9-4AB1-96AD-AF78102E18B5}">
  <ds:schemaRefs/>
</ds:datastoreItem>
</file>

<file path=docProps/app.xml><?xml version="1.0" encoding="utf-8"?>
<Properties xmlns="http://schemas.openxmlformats.org/officeDocument/2006/extended-properties" xmlns:vt="http://schemas.openxmlformats.org/officeDocument/2006/docPropsVTypes">
  <Template>Normal.dotm</Template>
  <Pages>22</Pages>
  <Words>798</Words>
  <Characters>4554</Characters>
  <Lines>37</Lines>
  <Paragraphs>10</Paragraphs>
  <TotalTime>0</TotalTime>
  <ScaleCrop>false</ScaleCrop>
  <LinksUpToDate>false</LinksUpToDate>
  <CharactersWithSpaces>5342</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2020-04-29T01:30:00Z</dcterms:created>
  <dc:creator>石 先生</dc:creator>
  <cp:lastModifiedBy>☮          Via</cp:lastModifiedBy>
  <cp:lastPrinted>2020-04-22T00:12:00Z</cp:lastPrinted>
  <dcterms:modified xsi:type="dcterms:W3CDTF">2021-02-02T14:20:03Z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